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626C22" w14:textId="61AF3AB8" w:rsidR="001A759B" w:rsidRDefault="001A759B" w:rsidP="001A759B">
      <w:pPr>
        <w:pStyle w:val="LSHeader"/>
      </w:pPr>
      <w:r>
        <w:t>3GPP TSG RAN WG3 121-bis</w:t>
      </w:r>
      <w:r>
        <w:tab/>
      </w:r>
      <w:r w:rsidR="00A5676F" w:rsidRPr="00A5676F">
        <w:t>R3-235399</w:t>
      </w:r>
    </w:p>
    <w:p w14:paraId="419AAB7F" w14:textId="78E8050E" w:rsidR="006E6E8B" w:rsidRPr="001A759B" w:rsidRDefault="001A759B" w:rsidP="001A759B">
      <w:pPr>
        <w:pStyle w:val="ab"/>
        <w:jc w:val="both"/>
        <w:rPr>
          <w:i w:val="0"/>
          <w:sz w:val="24"/>
        </w:rPr>
      </w:pPr>
      <w:r w:rsidRPr="001A759B">
        <w:rPr>
          <w:i w:val="0"/>
          <w:sz w:val="24"/>
        </w:rPr>
        <w:t>Xiamen, China, 09 - 13 October, 2023</w:t>
      </w:r>
    </w:p>
    <w:p w14:paraId="7816ED6F" w14:textId="51A15527" w:rsidR="001A759B" w:rsidRDefault="001A759B" w:rsidP="001A759B">
      <w:pPr>
        <w:pStyle w:val="ab"/>
        <w:jc w:val="both"/>
      </w:pPr>
    </w:p>
    <w:p w14:paraId="354CAA3C" w14:textId="77777777" w:rsidR="001A759B" w:rsidRDefault="001A759B" w:rsidP="001A759B">
      <w:pPr>
        <w:pStyle w:val="ab"/>
        <w:jc w:val="both"/>
        <w:rPr>
          <w:rFonts w:eastAsia="宋体"/>
          <w:b w:val="0"/>
          <w:i w:val="0"/>
          <w:sz w:val="24"/>
        </w:rPr>
      </w:pPr>
    </w:p>
    <w:p w14:paraId="65B1FD3A" w14:textId="77777777" w:rsidR="006E6E8B" w:rsidRDefault="006E6E8B" w:rsidP="006E6E8B">
      <w:pPr>
        <w:tabs>
          <w:tab w:val="left" w:pos="1985"/>
        </w:tabs>
        <w:ind w:left="1980" w:hanging="1980"/>
        <w:rPr>
          <w:rStyle w:val="af9"/>
        </w:rPr>
      </w:pPr>
      <w:r>
        <w:rPr>
          <w:b/>
          <w:sz w:val="24"/>
        </w:rPr>
        <w:t>Ti</w:t>
      </w:r>
      <w:bookmarkStart w:id="0" w:name="_GoBack"/>
      <w:bookmarkEnd w:id="0"/>
      <w:r>
        <w:rPr>
          <w:b/>
          <w:sz w:val="24"/>
        </w:rPr>
        <w:t>tle:</w:t>
      </w:r>
      <w:r>
        <w:rPr>
          <w:sz w:val="24"/>
        </w:rPr>
        <w:t xml:space="preserve"> </w:t>
      </w:r>
      <w:r>
        <w:rPr>
          <w:sz w:val="24"/>
        </w:rPr>
        <w:tab/>
      </w:r>
      <w:r>
        <w:rPr>
          <w:rFonts w:hint="eastAsia"/>
          <w:sz w:val="24"/>
        </w:rPr>
        <w:t xml:space="preserve">Discussion on QoE measurement in </w:t>
      </w:r>
      <w:r>
        <w:rPr>
          <w:sz w:val="24"/>
        </w:rPr>
        <w:t>RRC_INACTIVE and RRC_IDLE states</w:t>
      </w:r>
    </w:p>
    <w:p w14:paraId="784C8EF5" w14:textId="77777777" w:rsidR="006E6E8B" w:rsidRDefault="006E6E8B" w:rsidP="006E6E8B">
      <w:pPr>
        <w:tabs>
          <w:tab w:val="left" w:pos="1985"/>
        </w:tabs>
        <w:rPr>
          <w:rStyle w:val="af9"/>
        </w:rPr>
      </w:pPr>
      <w:r>
        <w:rPr>
          <w:b/>
          <w:sz w:val="24"/>
        </w:rPr>
        <w:t xml:space="preserve">Source: </w:t>
      </w:r>
      <w:r>
        <w:rPr>
          <w:b/>
          <w:sz w:val="24"/>
        </w:rPr>
        <w:tab/>
      </w:r>
      <w:r>
        <w:rPr>
          <w:rFonts w:hint="eastAsia"/>
          <w:bCs/>
          <w:sz w:val="24"/>
        </w:rPr>
        <w:t>China Unicom</w:t>
      </w:r>
    </w:p>
    <w:p w14:paraId="2C1534A2" w14:textId="77777777" w:rsidR="006E6E8B" w:rsidRDefault="006E6E8B" w:rsidP="006E6E8B">
      <w:pPr>
        <w:tabs>
          <w:tab w:val="left" w:pos="1985"/>
        </w:tabs>
        <w:rPr>
          <w:rStyle w:val="af9"/>
        </w:rPr>
      </w:pPr>
      <w:r>
        <w:rPr>
          <w:b/>
          <w:sz w:val="24"/>
        </w:rPr>
        <w:t>Agenda item:</w:t>
      </w:r>
      <w:r>
        <w:rPr>
          <w:sz w:val="24"/>
        </w:rPr>
        <w:tab/>
      </w:r>
      <w:r>
        <w:rPr>
          <w:rFonts w:hint="eastAsia"/>
          <w:sz w:val="24"/>
          <w:lang w:val="en-US"/>
        </w:rPr>
        <w:t>11</w:t>
      </w:r>
      <w:r>
        <w:rPr>
          <w:sz w:val="24"/>
        </w:rPr>
        <w:t>.2</w:t>
      </w:r>
    </w:p>
    <w:p w14:paraId="4490E66B" w14:textId="77777777" w:rsidR="006E6E8B" w:rsidRDefault="006E6E8B" w:rsidP="006E6E8B">
      <w:pPr>
        <w:tabs>
          <w:tab w:val="left" w:pos="1985"/>
        </w:tabs>
        <w:ind w:left="1980" w:hanging="1980"/>
        <w:rPr>
          <w:rStyle w:val="af9"/>
        </w:rPr>
      </w:pPr>
      <w:r>
        <w:rPr>
          <w:b/>
          <w:sz w:val="24"/>
        </w:rPr>
        <w:t>Document Type:</w:t>
      </w:r>
      <w:r>
        <w:rPr>
          <w:sz w:val="24"/>
        </w:rPr>
        <w:tab/>
      </w:r>
      <w:r>
        <w:rPr>
          <w:rFonts w:hint="eastAsia"/>
          <w:sz w:val="24"/>
        </w:rPr>
        <w:t>D</w:t>
      </w:r>
      <w:r>
        <w:rPr>
          <w:sz w:val="24"/>
        </w:rPr>
        <w:t>iscussion</w:t>
      </w:r>
    </w:p>
    <w:p w14:paraId="05E48039" w14:textId="77777777" w:rsidR="00215CAB" w:rsidRDefault="00D4159A">
      <w:pPr>
        <w:pStyle w:val="1"/>
        <w:rPr>
          <w:rFonts w:ascii="Times New Roman" w:hAnsi="Times New Roman" w:cs="Times New Roman"/>
          <w:sz w:val="40"/>
        </w:rPr>
      </w:pPr>
      <w:r>
        <w:rPr>
          <w:rFonts w:ascii="Times New Roman" w:hAnsi="Times New Roman" w:cs="Times New Roman"/>
          <w:sz w:val="40"/>
        </w:rPr>
        <w:t>Introduction</w:t>
      </w:r>
    </w:p>
    <w:p w14:paraId="2A17CD05" w14:textId="77777777" w:rsidR="00215CAB" w:rsidRDefault="00D4159A">
      <w:pPr>
        <w:rPr>
          <w:rFonts w:ascii="Times New Roman" w:hAnsi="Times New Roman"/>
          <w:sz w:val="21"/>
          <w:szCs w:val="21"/>
        </w:rPr>
      </w:pPr>
      <w:r>
        <w:rPr>
          <w:rFonts w:ascii="Times New Roman" w:hAnsi="Times New Roman"/>
          <w:sz w:val="21"/>
          <w:szCs w:val="21"/>
        </w:rPr>
        <w:t>The Work Item on QoE reporting has been agreed in RAN#9</w:t>
      </w:r>
      <w:r>
        <w:rPr>
          <w:rFonts w:ascii="Times New Roman" w:eastAsia="宋体" w:hAnsi="Times New Roman" w:hint="eastAsia"/>
          <w:sz w:val="21"/>
          <w:szCs w:val="21"/>
          <w:lang w:val="en-US"/>
        </w:rPr>
        <w:t>6</w:t>
      </w:r>
      <w:r>
        <w:rPr>
          <w:rFonts w:ascii="Times New Roman" w:hAnsi="Times New Roman"/>
          <w:sz w:val="21"/>
          <w:szCs w:val="21"/>
        </w:rPr>
        <w:t xml:space="preserve"> (RP-2</w:t>
      </w:r>
      <w:r>
        <w:rPr>
          <w:rFonts w:ascii="Times New Roman" w:eastAsia="宋体" w:hAnsi="Times New Roman" w:hint="eastAsia"/>
          <w:sz w:val="21"/>
          <w:szCs w:val="21"/>
          <w:lang w:val="en-US"/>
        </w:rPr>
        <w:t>21803</w:t>
      </w:r>
      <w:r>
        <w:rPr>
          <w:rFonts w:ascii="Times New Roman" w:hAnsi="Times New Roman"/>
          <w:sz w:val="21"/>
          <w:szCs w:val="21"/>
        </w:rPr>
        <w:t>) with the following objectives:</w:t>
      </w:r>
    </w:p>
    <w:tbl>
      <w:tblPr>
        <w:tblStyle w:val="af3"/>
        <w:tblW w:w="0" w:type="auto"/>
        <w:tblLook w:val="04A0" w:firstRow="1" w:lastRow="0" w:firstColumn="1" w:lastColumn="0" w:noHBand="0" w:noVBand="1"/>
      </w:tblPr>
      <w:tblGrid>
        <w:gridCol w:w="9629"/>
      </w:tblGrid>
      <w:tr w:rsidR="00215CAB" w14:paraId="7104EF00" w14:textId="77777777">
        <w:tc>
          <w:tcPr>
            <w:tcW w:w="9631" w:type="dxa"/>
          </w:tcPr>
          <w:p w14:paraId="6E210923" w14:textId="77777777" w:rsidR="006E1BE3" w:rsidRDefault="006E1BE3">
            <w:pPr>
              <w:numPr>
                <w:ilvl w:val="0"/>
                <w:numId w:val="5"/>
              </w:numPr>
              <w:spacing w:beforeLines="50" w:before="120" w:after="0"/>
              <w:rPr>
                <w:rFonts w:ascii="Times New Roman" w:hAnsi="Times New Roman"/>
                <w:bCs/>
                <w:sz w:val="21"/>
                <w:szCs w:val="21"/>
              </w:rPr>
            </w:pPr>
            <w:r w:rsidRPr="00A66B93">
              <w:rPr>
                <w:rFonts w:ascii="Times New Roman" w:hAnsi="Times New Roman"/>
                <w:bCs/>
                <w:sz w:val="22"/>
                <w:szCs w:val="21"/>
              </w:rPr>
              <w:t>Specify the new service and the existing service defined or to be supported by SA4, combined with high mobility scenarios, e.g., High Speed Trains.</w:t>
            </w:r>
          </w:p>
          <w:p w14:paraId="04687922" w14:textId="77777777" w:rsidR="00215CAB" w:rsidRDefault="00D4159A">
            <w:pPr>
              <w:numPr>
                <w:ilvl w:val="0"/>
                <w:numId w:val="5"/>
              </w:numPr>
              <w:spacing w:beforeLines="50" w:before="120" w:after="0"/>
              <w:rPr>
                <w:rFonts w:ascii="Times New Roman" w:hAnsi="Times New Roman"/>
                <w:bCs/>
                <w:sz w:val="21"/>
                <w:szCs w:val="21"/>
              </w:rPr>
            </w:pPr>
            <w:r>
              <w:rPr>
                <w:rFonts w:ascii="Times New Roman" w:hAnsi="Times New Roman"/>
                <w:bCs/>
                <w:sz w:val="21"/>
                <w:szCs w:val="21"/>
              </w:rPr>
              <w:t>Specify for QoE measurement</w:t>
            </w:r>
            <w:r>
              <w:rPr>
                <w:rFonts w:ascii="Times New Roman" w:hAnsi="Times New Roman"/>
                <w:bCs/>
                <w:sz w:val="21"/>
                <w:szCs w:val="21"/>
                <w:lang w:val="en-US"/>
              </w:rPr>
              <w:t xml:space="preserve"> configuration and</w:t>
            </w:r>
            <w:r>
              <w:rPr>
                <w:rFonts w:ascii="Times New Roman" w:hAnsi="Times New Roman"/>
                <w:bCs/>
                <w:sz w:val="21"/>
                <w:szCs w:val="21"/>
              </w:rPr>
              <w:t xml:space="preserve"> collection </w:t>
            </w:r>
            <w:r>
              <w:rPr>
                <w:rFonts w:ascii="Times New Roman" w:hAnsi="Times New Roman"/>
                <w:bCs/>
                <w:sz w:val="21"/>
                <w:szCs w:val="21"/>
                <w:lang w:val="en-US"/>
              </w:rPr>
              <w:t>in RRC_INACTIVE and RRC_IDLE states</w:t>
            </w:r>
            <w:r>
              <w:rPr>
                <w:rFonts w:ascii="Times New Roman" w:hAnsi="Times New Roman"/>
                <w:bCs/>
                <w:sz w:val="21"/>
                <w:szCs w:val="21"/>
              </w:rPr>
              <w:t xml:space="preserve"> </w:t>
            </w:r>
            <w:r>
              <w:rPr>
                <w:rFonts w:ascii="Times New Roman" w:hAnsi="Times New Roman"/>
                <w:bCs/>
                <w:sz w:val="21"/>
                <w:szCs w:val="21"/>
                <w:lang w:val="en-US"/>
              </w:rPr>
              <w:t xml:space="preserve">for MBS, at least </w:t>
            </w:r>
            <w:r>
              <w:rPr>
                <w:rFonts w:ascii="Times New Roman" w:hAnsi="Times New Roman"/>
                <w:bCs/>
                <w:sz w:val="21"/>
                <w:szCs w:val="21"/>
              </w:rPr>
              <w:t xml:space="preserve">for </w:t>
            </w:r>
            <w:r>
              <w:rPr>
                <w:rFonts w:ascii="Times New Roman" w:hAnsi="Times New Roman"/>
                <w:bCs/>
                <w:sz w:val="21"/>
                <w:szCs w:val="21"/>
                <w:lang w:val="en-US"/>
              </w:rPr>
              <w:t xml:space="preserve">broadcast </w:t>
            </w:r>
            <w:r>
              <w:rPr>
                <w:rFonts w:ascii="Times New Roman" w:hAnsi="Times New Roman"/>
                <w:bCs/>
                <w:sz w:val="21"/>
                <w:szCs w:val="21"/>
              </w:rPr>
              <w:t>service</w:t>
            </w:r>
            <w:r>
              <w:rPr>
                <w:rFonts w:ascii="Times New Roman" w:hAnsi="Times New Roman"/>
                <w:bCs/>
                <w:sz w:val="21"/>
                <w:szCs w:val="21"/>
                <w:lang w:val="en-US"/>
              </w:rPr>
              <w:t xml:space="preserve"> </w:t>
            </w:r>
            <w:r>
              <w:rPr>
                <w:rFonts w:ascii="Times New Roman" w:hAnsi="Times New Roman"/>
                <w:bCs/>
                <w:sz w:val="21"/>
                <w:szCs w:val="21"/>
              </w:rPr>
              <w:t>[RAN3, RAN2].</w:t>
            </w:r>
          </w:p>
          <w:p w14:paraId="36FBB2BE" w14:textId="77777777" w:rsidR="00215CAB" w:rsidRDefault="00D4159A">
            <w:pPr>
              <w:numPr>
                <w:ilvl w:val="0"/>
                <w:numId w:val="6"/>
              </w:numPr>
              <w:spacing w:after="0"/>
              <w:rPr>
                <w:rFonts w:ascii="Times New Roman" w:hAnsi="Times New Roman"/>
                <w:sz w:val="21"/>
                <w:szCs w:val="21"/>
              </w:rPr>
            </w:pPr>
            <w:r>
              <w:rPr>
                <w:rFonts w:ascii="Times New Roman" w:hAnsi="Times New Roman"/>
                <w:bCs/>
                <w:sz w:val="21"/>
                <w:szCs w:val="21"/>
              </w:rPr>
              <w:t xml:space="preserve">Specify the mechanism to support the alignment of </w:t>
            </w:r>
            <w:r>
              <w:rPr>
                <w:rFonts w:ascii="Times New Roman" w:hAnsi="Times New Roman"/>
                <w:bCs/>
                <w:sz w:val="21"/>
                <w:szCs w:val="21"/>
                <w:lang w:val="en-US"/>
              </w:rPr>
              <w:t xml:space="preserve">the existing </w:t>
            </w:r>
            <w:r>
              <w:rPr>
                <w:rFonts w:ascii="Times New Roman" w:hAnsi="Times New Roman"/>
                <w:bCs/>
                <w:sz w:val="21"/>
                <w:szCs w:val="21"/>
              </w:rPr>
              <w:t>radio related measurement and QoE reporting.</w:t>
            </w:r>
          </w:p>
        </w:tc>
      </w:tr>
    </w:tbl>
    <w:p w14:paraId="6551B3E1" w14:textId="77777777" w:rsidR="00952E52" w:rsidRPr="00BC5C8A" w:rsidRDefault="00952E52" w:rsidP="00A54656">
      <w:pPr>
        <w:rPr>
          <w:rFonts w:ascii="Times New Roman" w:eastAsia="等线" w:hAnsi="Times New Roman"/>
          <w:sz w:val="21"/>
          <w:szCs w:val="21"/>
          <w:lang w:val="en-US"/>
        </w:rPr>
      </w:pPr>
    </w:p>
    <w:p w14:paraId="0A6EB9B3" w14:textId="1772893E" w:rsidR="00A54656" w:rsidRDefault="00BC5C8A" w:rsidP="00A54656">
      <w:pPr>
        <w:rPr>
          <w:rFonts w:ascii="Times New Roman" w:eastAsia="宋体" w:hAnsi="Times New Roman"/>
          <w:sz w:val="21"/>
          <w:szCs w:val="21"/>
          <w:lang w:val="en-US"/>
        </w:rPr>
      </w:pPr>
      <w:r>
        <w:rPr>
          <w:rStyle w:val="IvDbodytextChar"/>
          <w:rFonts w:ascii="Times New Roman" w:hAnsi="Times New Roman"/>
          <w:sz w:val="21"/>
          <w:szCs w:val="21"/>
          <w:lang w:val="en-GB"/>
        </w:rPr>
        <w:t xml:space="preserve">This paper discusses to support </w:t>
      </w:r>
      <w:r w:rsidR="00A54656">
        <w:rPr>
          <w:rStyle w:val="IvDbodytextChar"/>
          <w:rFonts w:ascii="Times New Roman" w:eastAsia="等线" w:hAnsi="Times New Roman"/>
          <w:sz w:val="21"/>
          <w:szCs w:val="21"/>
        </w:rPr>
        <w:t>the</w:t>
      </w:r>
      <w:r w:rsidR="00A54656">
        <w:rPr>
          <w:rStyle w:val="IvDbodytextChar"/>
          <w:rFonts w:ascii="Times New Roman" w:eastAsia="等线" w:hAnsi="Times New Roman" w:hint="eastAsia"/>
          <w:sz w:val="21"/>
          <w:szCs w:val="21"/>
        </w:rPr>
        <w:t xml:space="preserve"> QoE measurement configuration and reporting in RRC_INACT</w:t>
      </w:r>
      <w:r w:rsidR="006E1BE3">
        <w:rPr>
          <w:rStyle w:val="IvDbodytextChar"/>
          <w:rFonts w:ascii="Times New Roman" w:eastAsia="等线" w:hAnsi="Times New Roman" w:hint="eastAsia"/>
          <w:sz w:val="21"/>
          <w:szCs w:val="21"/>
        </w:rPr>
        <w:t>IVE and RRC_IDLE states for MBS</w:t>
      </w:r>
      <w:r w:rsidR="00A54656">
        <w:rPr>
          <w:rStyle w:val="IvDbodytextChar"/>
          <w:rFonts w:ascii="Times New Roman" w:eastAsia="等线" w:hAnsi="Times New Roman" w:hint="eastAsia"/>
          <w:sz w:val="21"/>
          <w:szCs w:val="21"/>
        </w:rPr>
        <w:t xml:space="preserve"> service</w:t>
      </w:r>
      <w:r w:rsidR="00202E32">
        <w:rPr>
          <w:rStyle w:val="IvDbodytextChar"/>
          <w:rFonts w:ascii="Times New Roman" w:eastAsia="等线" w:hAnsi="Times New Roman" w:hint="eastAsia"/>
          <w:sz w:val="21"/>
          <w:szCs w:val="21"/>
        </w:rPr>
        <w:t>,</w:t>
      </w:r>
      <w:r w:rsidR="00202E32">
        <w:rPr>
          <w:rStyle w:val="IvDbodytextChar"/>
          <w:rFonts w:ascii="Times New Roman" w:eastAsia="等线" w:hAnsi="Times New Roman"/>
          <w:sz w:val="21"/>
          <w:szCs w:val="21"/>
        </w:rPr>
        <w:t xml:space="preserve"> as well for the high mobility scenarios</w:t>
      </w:r>
      <w:r w:rsidR="00A54656">
        <w:rPr>
          <w:rFonts w:ascii="Times New Roman" w:eastAsia="宋体" w:hAnsi="Times New Roman"/>
          <w:sz w:val="21"/>
          <w:szCs w:val="21"/>
          <w:lang w:val="en-US"/>
        </w:rPr>
        <w:t>.</w:t>
      </w:r>
    </w:p>
    <w:p w14:paraId="54D6BE46" w14:textId="77777777" w:rsidR="00A54656" w:rsidRPr="00A54656" w:rsidRDefault="00A54656" w:rsidP="00A54656">
      <w:pPr>
        <w:rPr>
          <w:rFonts w:ascii="Times New Roman" w:eastAsia="宋体" w:hAnsi="Times New Roman"/>
          <w:sz w:val="21"/>
          <w:szCs w:val="21"/>
          <w:lang w:val="en-US"/>
        </w:rPr>
      </w:pPr>
    </w:p>
    <w:p w14:paraId="4C484F17" w14:textId="2D24BF9C" w:rsidR="00B17DFC" w:rsidRDefault="00D4159A" w:rsidP="00B17DFC">
      <w:pPr>
        <w:pStyle w:val="1"/>
        <w:rPr>
          <w:rFonts w:ascii="Times New Roman" w:hAnsi="Times New Roman" w:cs="Times New Roman"/>
          <w:sz w:val="40"/>
        </w:rPr>
      </w:pPr>
      <w:r>
        <w:rPr>
          <w:rFonts w:ascii="Times New Roman" w:hAnsi="Times New Roman" w:cs="Times New Roman"/>
          <w:sz w:val="40"/>
        </w:rPr>
        <w:t>Discussion</w:t>
      </w:r>
    </w:p>
    <w:p w14:paraId="129B9A50" w14:textId="77777777" w:rsidR="007F7143" w:rsidRPr="00E738A3" w:rsidRDefault="007F7143" w:rsidP="007F7143">
      <w:pPr>
        <w:pStyle w:val="2"/>
        <w:rPr>
          <w:rFonts w:ascii="Times New Roman" w:hAnsi="Times New Roman" w:cs="Times New Roman"/>
          <w:lang w:val="en-US"/>
        </w:rPr>
      </w:pPr>
      <w:r>
        <w:rPr>
          <w:rFonts w:ascii="Times New Roman" w:hAnsi="Times New Roman" w:cs="Times New Roman" w:hint="eastAsia"/>
          <w:lang w:val="en-US"/>
        </w:rPr>
        <w:t>QoE configuration for MBS service</w:t>
      </w:r>
    </w:p>
    <w:p w14:paraId="4BE9C323" w14:textId="7E11954E" w:rsidR="002E7D10" w:rsidRPr="002E7D10" w:rsidRDefault="002E7D10" w:rsidP="002E7D10">
      <w:pPr>
        <w:rPr>
          <w:rFonts w:ascii="Times New Roman" w:eastAsia="宋体" w:hAnsi="Times New Roman"/>
          <w:bCs/>
          <w:lang w:val="en-US"/>
        </w:rPr>
      </w:pPr>
      <w:r>
        <w:rPr>
          <w:rFonts w:ascii="Times New Roman" w:eastAsia="宋体" w:hAnsi="Times New Roman"/>
          <w:bCs/>
          <w:lang w:val="en-US"/>
        </w:rPr>
        <w:t>A reply LS</w:t>
      </w:r>
      <w:r w:rsidRPr="002E7D10">
        <w:rPr>
          <w:rFonts w:ascii="Times New Roman" w:eastAsia="宋体" w:hAnsi="Times New Roman"/>
          <w:bCs/>
          <w:lang w:val="en-US"/>
        </w:rPr>
        <w:t xml:space="preserve"> on QoE measurement collection for application sessions delivered via MBS broadcast or multicast in</w:t>
      </w:r>
      <w:r>
        <w:rPr>
          <w:rFonts w:ascii="Times New Roman" w:eastAsia="宋体" w:hAnsi="Times New Roman"/>
          <w:bCs/>
          <w:lang w:val="en-US"/>
        </w:rPr>
        <w:t xml:space="preserve"> </w:t>
      </w:r>
      <w:r w:rsidRPr="002E7D10">
        <w:rPr>
          <w:rFonts w:ascii="Times New Roman" w:eastAsia="宋体" w:hAnsi="Times New Roman"/>
          <w:bCs/>
          <w:lang w:val="en-US"/>
        </w:rPr>
        <w:t>R3-233457</w:t>
      </w:r>
      <w:r>
        <w:rPr>
          <w:rFonts w:ascii="Times New Roman" w:eastAsia="宋体" w:hAnsi="Times New Roman"/>
          <w:bCs/>
          <w:lang w:val="en-US"/>
        </w:rPr>
        <w:t xml:space="preserve"> as below:</w:t>
      </w:r>
    </w:p>
    <w:tbl>
      <w:tblPr>
        <w:tblStyle w:val="af3"/>
        <w:tblW w:w="0" w:type="auto"/>
        <w:tblLook w:val="04A0" w:firstRow="1" w:lastRow="0" w:firstColumn="1" w:lastColumn="0" w:noHBand="0" w:noVBand="1"/>
      </w:tblPr>
      <w:tblGrid>
        <w:gridCol w:w="9629"/>
      </w:tblGrid>
      <w:tr w:rsidR="002E7D10" w14:paraId="464B964A" w14:textId="77777777" w:rsidTr="002E7D10">
        <w:tc>
          <w:tcPr>
            <w:tcW w:w="9629" w:type="dxa"/>
          </w:tcPr>
          <w:p w14:paraId="3B115F1C" w14:textId="77777777" w:rsidR="002E7D10" w:rsidRDefault="002E7D10" w:rsidP="002E7D10"/>
          <w:p w14:paraId="33EF5908" w14:textId="753CDDAE" w:rsidR="002E7D10" w:rsidRDefault="002E7D10" w:rsidP="002E7D10">
            <w:r w:rsidRPr="009576EE">
              <w:t>Q1: RAN3 kindly requests SA4 to provide guidance on which of the options RAN3 should pursue in Rel-18, in order to support QMC for application sessions delivered via MBS broadcast or multicast.</w:t>
            </w:r>
          </w:p>
          <w:p w14:paraId="00376340" w14:textId="77777777" w:rsidR="002E7D10" w:rsidRDefault="002E7D10" w:rsidP="002E7D10">
            <w:r w:rsidRPr="00085A59">
              <w:rPr>
                <w:b/>
              </w:rPr>
              <w:t>Answer</w:t>
            </w:r>
            <w:r>
              <w:t>: As mentioned in previous LS</w:t>
            </w:r>
            <w:r w:rsidRPr="009576EE">
              <w:t xml:space="preserve"> </w:t>
            </w:r>
            <w:r>
              <w:t xml:space="preserve">S4-230347, since there are no ongoing Rel-18 study or normative work regarding MBS QoE in SA4, SA4 suggests RAN3 to pursue the Option 2 in Rel-18. The "MBS" is considered as a communication service only, which can be used to deliver the application services, e.g. DASH streaming, VR streaming.   </w:t>
            </w:r>
          </w:p>
          <w:p w14:paraId="2E066489" w14:textId="77777777" w:rsidR="002E7D10" w:rsidRPr="002E7D10" w:rsidRDefault="002E7D10" w:rsidP="007F7143">
            <w:pPr>
              <w:rPr>
                <w:rFonts w:ascii="Calibri" w:hAnsi="Calibri" w:cs="Calibri"/>
                <w:b/>
                <w:color w:val="0000FF"/>
                <w:sz w:val="18"/>
                <w:lang w:eastAsia="en-US"/>
              </w:rPr>
            </w:pPr>
          </w:p>
        </w:tc>
      </w:tr>
    </w:tbl>
    <w:p w14:paraId="0ECE396A" w14:textId="039303B9" w:rsidR="002E7D10" w:rsidRDefault="002E7D10" w:rsidP="007F7143">
      <w:pPr>
        <w:rPr>
          <w:rFonts w:ascii="Calibri" w:hAnsi="Calibri" w:cs="Calibri"/>
          <w:b/>
          <w:color w:val="0000FF"/>
          <w:sz w:val="18"/>
          <w:lang w:eastAsia="en-US"/>
        </w:rPr>
      </w:pPr>
    </w:p>
    <w:p w14:paraId="6DC5BD52" w14:textId="7ED1253F" w:rsidR="007F7143" w:rsidRDefault="007A6F9A" w:rsidP="007F7143">
      <w:pPr>
        <w:pStyle w:val="Default"/>
        <w:rPr>
          <w:sz w:val="21"/>
        </w:rPr>
      </w:pPr>
      <w:r>
        <w:rPr>
          <w:sz w:val="21"/>
        </w:rPr>
        <w:t xml:space="preserve">The </w:t>
      </w:r>
      <w:r w:rsidR="007F7143">
        <w:rPr>
          <w:sz w:val="21"/>
        </w:rPr>
        <w:t>reply LS</w:t>
      </w:r>
      <w:r>
        <w:rPr>
          <w:sz w:val="21"/>
        </w:rPr>
        <w:t xml:space="preserve"> states that option 2 would be pursued, </w:t>
      </w:r>
      <w:r w:rsidR="00CF12FF">
        <w:rPr>
          <w:sz w:val="21"/>
        </w:rPr>
        <w:t>since there is no MBS service Qo</w:t>
      </w:r>
      <w:r w:rsidR="00CF12FF">
        <w:rPr>
          <w:rFonts w:eastAsia="等线"/>
          <w:sz w:val="21"/>
        </w:rPr>
        <w:t>E metric defined in Rel-18. Thus R3 agree to c</w:t>
      </w:r>
      <w:r w:rsidR="00CF12FF" w:rsidRPr="00CF12FF">
        <w:rPr>
          <w:rFonts w:eastAsia="等线"/>
          <w:sz w:val="21"/>
        </w:rPr>
        <w:t>onsider MBS as a communication service and introduce the</w:t>
      </w:r>
      <w:r w:rsidR="00CF12FF">
        <w:rPr>
          <w:rFonts w:eastAsia="等线"/>
          <w:sz w:val="21"/>
        </w:rPr>
        <w:t xml:space="preserve"> concept of “MBS delivery mode” in Rel-18.</w:t>
      </w:r>
    </w:p>
    <w:p w14:paraId="55FCF4CA" w14:textId="77777777" w:rsidR="007F7143" w:rsidRPr="00CF12FF" w:rsidRDefault="007F7143" w:rsidP="007F7143">
      <w:pPr>
        <w:pStyle w:val="Default"/>
        <w:rPr>
          <w:b/>
          <w:sz w:val="22"/>
        </w:rPr>
      </w:pPr>
    </w:p>
    <w:p w14:paraId="6447C8EA" w14:textId="7EC1FC71" w:rsidR="007F7143" w:rsidRPr="00E96E22" w:rsidRDefault="007F7143" w:rsidP="007F7143">
      <w:pPr>
        <w:pStyle w:val="Default"/>
        <w:rPr>
          <w:b/>
          <w:sz w:val="20"/>
        </w:rPr>
      </w:pPr>
      <w:r w:rsidRPr="00E96E22">
        <w:rPr>
          <w:b/>
          <w:sz w:val="20"/>
        </w:rPr>
        <w:t xml:space="preserve">Proposal 1: RAN3 </w:t>
      </w:r>
      <w:r w:rsidR="00CF12FF" w:rsidRPr="00E96E22">
        <w:rPr>
          <w:b/>
          <w:sz w:val="20"/>
        </w:rPr>
        <w:t xml:space="preserve">agree to consider MBS as a communication service </w:t>
      </w:r>
      <w:r w:rsidRPr="00E96E22">
        <w:rPr>
          <w:b/>
          <w:sz w:val="20"/>
        </w:rPr>
        <w:t>in Rel-18.</w:t>
      </w:r>
    </w:p>
    <w:p w14:paraId="6DD04160" w14:textId="5BB86627" w:rsidR="007F7143" w:rsidRPr="007F7143" w:rsidRDefault="007F7143" w:rsidP="007F7143">
      <w:pPr>
        <w:pStyle w:val="Default"/>
        <w:rPr>
          <w:rFonts w:eastAsia="等线"/>
          <w:b/>
          <w:sz w:val="22"/>
        </w:rPr>
      </w:pPr>
    </w:p>
    <w:p w14:paraId="75D7860E" w14:textId="77777777" w:rsidR="007F7143" w:rsidRPr="007F7143" w:rsidRDefault="007F7143" w:rsidP="007F7143">
      <w:pPr>
        <w:rPr>
          <w:rFonts w:eastAsia="等线"/>
          <w:lang w:val="en-US"/>
        </w:rPr>
      </w:pPr>
    </w:p>
    <w:p w14:paraId="28159C87" w14:textId="1EBF1496" w:rsidR="004A4C91" w:rsidRPr="00EF3A34" w:rsidRDefault="00D4159A" w:rsidP="00EF3A34">
      <w:pPr>
        <w:pStyle w:val="2"/>
        <w:rPr>
          <w:rFonts w:ascii="Times New Roman" w:hAnsi="Times New Roman" w:cs="Times New Roman"/>
          <w:bCs/>
          <w:lang w:val="en-US"/>
        </w:rPr>
      </w:pPr>
      <w:r>
        <w:rPr>
          <w:rFonts w:ascii="Times New Roman" w:hAnsi="Times New Roman" w:cs="Times New Roman" w:hint="eastAsia"/>
          <w:lang w:val="en-US"/>
        </w:rPr>
        <w:lastRenderedPageBreak/>
        <w:t xml:space="preserve">QoE configuration </w:t>
      </w:r>
      <w:r w:rsidR="00D7625C">
        <w:rPr>
          <w:rFonts w:ascii="Times New Roman" w:hAnsi="Times New Roman" w:cs="Times New Roman"/>
          <w:lang w:val="en-US"/>
        </w:rPr>
        <w:t xml:space="preserve">information </w:t>
      </w:r>
      <w:r w:rsidR="00EF3A34">
        <w:rPr>
          <w:rFonts w:ascii="Times New Roman" w:hAnsi="Times New Roman" w:cs="Times New Roman"/>
          <w:lang w:val="en-US"/>
        </w:rPr>
        <w:t>for</w:t>
      </w:r>
      <w:r w:rsidR="00EF3A34">
        <w:rPr>
          <w:rFonts w:ascii="Times New Roman" w:eastAsia="等线" w:hAnsi="Times New Roman" w:cs="Times New Roman" w:hint="eastAsia"/>
          <w:bCs/>
          <w:lang w:val="en-US"/>
        </w:rPr>
        <w:t xml:space="preserve"> </w:t>
      </w:r>
      <w:r w:rsidR="00EF3A34">
        <w:rPr>
          <w:rFonts w:ascii="Times New Roman" w:eastAsia="等线" w:hAnsi="Times New Roman" w:cs="Times New Roman"/>
          <w:bCs/>
          <w:lang w:val="en-US"/>
        </w:rPr>
        <w:t xml:space="preserve">MBS </w:t>
      </w:r>
      <w:r w:rsidR="00D7625C">
        <w:rPr>
          <w:rFonts w:ascii="Times New Roman" w:eastAsia="等线" w:hAnsi="Times New Roman" w:cs="Times New Roman"/>
          <w:bCs/>
          <w:lang w:val="en-US"/>
        </w:rPr>
        <w:t>in RRC_CONNECTED from</w:t>
      </w:r>
      <w:r w:rsidRPr="00EF3A34">
        <w:rPr>
          <w:rFonts w:ascii="Times New Roman" w:hAnsi="Times New Roman" w:cs="Times New Roman"/>
          <w:bCs/>
          <w:lang w:val="en-US"/>
        </w:rPr>
        <w:t xml:space="preserve"> RRC_INACTIVE and RRC_IDLE states</w:t>
      </w:r>
    </w:p>
    <w:p w14:paraId="7DCB773A" w14:textId="4077E26D" w:rsidR="00C27E68" w:rsidRDefault="002E7D10" w:rsidP="00C27E68">
      <w:pPr>
        <w:rPr>
          <w:rFonts w:ascii="Times New Roman" w:eastAsia="宋体" w:hAnsi="Times New Roman"/>
          <w:bCs/>
          <w:lang w:val="en-US"/>
        </w:rPr>
      </w:pPr>
      <w:r>
        <w:rPr>
          <w:rFonts w:ascii="Times New Roman" w:eastAsia="宋体" w:hAnsi="Times New Roman"/>
          <w:bCs/>
          <w:lang w:val="en-US"/>
        </w:rPr>
        <w:t>An agreement has been made during</w:t>
      </w:r>
      <w:r w:rsidR="00C27E68">
        <w:rPr>
          <w:rFonts w:ascii="Times New Roman" w:eastAsia="宋体" w:hAnsi="Times New Roman"/>
          <w:bCs/>
          <w:lang w:val="en-US"/>
        </w:rPr>
        <w:t xml:space="preserve"> the </w:t>
      </w:r>
      <w:r>
        <w:rPr>
          <w:rFonts w:ascii="Times New Roman" w:eastAsia="宋体" w:hAnsi="Times New Roman"/>
          <w:bCs/>
          <w:lang w:val="en-US"/>
        </w:rPr>
        <w:t xml:space="preserve">previous </w:t>
      </w:r>
      <w:r w:rsidR="00C27E68">
        <w:rPr>
          <w:rFonts w:ascii="Times New Roman" w:eastAsia="宋体" w:hAnsi="Times New Roman"/>
          <w:bCs/>
          <w:lang w:val="en-US"/>
        </w:rPr>
        <w:t>meeting</w:t>
      </w:r>
      <w:r>
        <w:rPr>
          <w:rFonts w:ascii="Times New Roman" w:eastAsia="宋体" w:hAnsi="Times New Roman"/>
          <w:bCs/>
          <w:lang w:val="en-US"/>
        </w:rPr>
        <w:t>s</w:t>
      </w:r>
      <w:r w:rsidR="00C27E68">
        <w:rPr>
          <w:rFonts w:ascii="Times New Roman" w:eastAsia="宋体" w:hAnsi="Times New Roman"/>
          <w:bCs/>
          <w:lang w:val="en-US"/>
        </w:rPr>
        <w:t>:</w:t>
      </w:r>
    </w:p>
    <w:p w14:paraId="2FFEEE85" w14:textId="1F9F4F0A" w:rsidR="00C27E68" w:rsidRDefault="00C27E68" w:rsidP="00C27E68">
      <w:pPr>
        <w:rPr>
          <w:rFonts w:ascii="Calibri" w:hAnsi="Calibri" w:cs="Calibri"/>
          <w:b/>
          <w:color w:val="008000"/>
          <w:sz w:val="18"/>
        </w:rPr>
      </w:pPr>
      <w:r w:rsidRPr="00270355">
        <w:rPr>
          <w:rFonts w:ascii="Calibri" w:hAnsi="Calibri" w:cs="Calibri"/>
          <w:b/>
          <w:color w:val="008000"/>
          <w:sz w:val="18"/>
        </w:rPr>
        <w:t>RAN3 shall discuss which of QoE configuration info for MBS BC QoE shall be available in the new gNB.</w:t>
      </w:r>
    </w:p>
    <w:p w14:paraId="4DD3E7D3" w14:textId="6E587C63" w:rsidR="00120D60" w:rsidRPr="00120D60" w:rsidRDefault="00120D60" w:rsidP="00120D60">
      <w:pPr>
        <w:rPr>
          <w:rFonts w:ascii="Calibri" w:eastAsia="等线" w:hAnsi="Calibri" w:cs="Calibri"/>
          <w:b/>
          <w:color w:val="70AD47" w:themeColor="accent6"/>
          <w:sz w:val="18"/>
        </w:rPr>
      </w:pPr>
      <w:r w:rsidRPr="00120D60">
        <w:rPr>
          <w:rFonts w:ascii="Calibri" w:hAnsi="Calibri" w:cs="Calibri"/>
          <w:b/>
          <w:color w:val="008000"/>
          <w:sz w:val="18"/>
        </w:rPr>
        <w:t>QoE reference</w:t>
      </w:r>
      <w:r>
        <w:rPr>
          <w:rFonts w:ascii="Calibri" w:hAnsi="Calibri" w:cs="Calibri"/>
          <w:b/>
          <w:color w:val="008000"/>
          <w:sz w:val="18"/>
        </w:rPr>
        <w:t xml:space="preserve"> </w:t>
      </w:r>
      <w:r w:rsidRPr="00120D60">
        <w:rPr>
          <w:rFonts w:ascii="Calibri" w:hAnsi="Calibri" w:cs="Calibri"/>
          <w:b/>
          <w:sz w:val="18"/>
        </w:rPr>
        <w:t>(agreed in 119)</w:t>
      </w:r>
    </w:p>
    <w:p w14:paraId="20A1C90E" w14:textId="208094AB" w:rsidR="00120D60" w:rsidRPr="00120D60" w:rsidRDefault="00120D60" w:rsidP="00120D60">
      <w:pPr>
        <w:rPr>
          <w:rFonts w:ascii="Calibri" w:hAnsi="Calibri" w:cs="Calibri"/>
          <w:b/>
          <w:color w:val="008000"/>
          <w:sz w:val="18"/>
        </w:rPr>
      </w:pPr>
      <w:r w:rsidRPr="00120D60">
        <w:rPr>
          <w:rFonts w:ascii="Calibri" w:hAnsi="Calibri" w:cs="Calibri"/>
          <w:b/>
          <w:color w:val="008000"/>
          <w:sz w:val="18"/>
        </w:rPr>
        <w:t>Measurement Collection Entity Information, the detail information can be further discussed</w:t>
      </w:r>
      <w:r>
        <w:rPr>
          <w:rFonts w:ascii="Calibri" w:hAnsi="Calibri" w:cs="Calibri"/>
          <w:b/>
          <w:color w:val="008000"/>
          <w:sz w:val="18"/>
        </w:rPr>
        <w:t xml:space="preserve"> </w:t>
      </w:r>
      <w:r w:rsidRPr="00120D60">
        <w:rPr>
          <w:rFonts w:ascii="Calibri" w:hAnsi="Calibri" w:cs="Calibri"/>
          <w:b/>
          <w:sz w:val="18"/>
        </w:rPr>
        <w:t>(agreed in 119)</w:t>
      </w:r>
    </w:p>
    <w:p w14:paraId="6211231B" w14:textId="05C9641D" w:rsidR="00C27E68" w:rsidRDefault="00C27E68" w:rsidP="00C27E68">
      <w:pPr>
        <w:rPr>
          <w:rFonts w:ascii="Calibri" w:hAnsi="Calibri" w:cs="Calibri"/>
          <w:b/>
          <w:sz w:val="18"/>
        </w:rPr>
      </w:pPr>
      <w:r w:rsidRPr="002E7D10">
        <w:rPr>
          <w:rFonts w:ascii="Calibri" w:hAnsi="Calibri" w:cs="Calibri"/>
          <w:b/>
          <w:color w:val="008000"/>
          <w:sz w:val="18"/>
        </w:rPr>
        <w:t>Measurement Configuration Application Layer ID (RRC level ID)</w:t>
      </w:r>
      <w:r w:rsidR="00120D60">
        <w:rPr>
          <w:rFonts w:ascii="Calibri" w:hAnsi="Calibri" w:cs="Calibri"/>
          <w:b/>
          <w:color w:val="70AD47" w:themeColor="accent6"/>
          <w:sz w:val="18"/>
        </w:rPr>
        <w:t xml:space="preserve"> </w:t>
      </w:r>
      <w:r w:rsidR="00120D60" w:rsidRPr="00120D60">
        <w:rPr>
          <w:rFonts w:ascii="Calibri" w:hAnsi="Calibri" w:cs="Calibri"/>
          <w:b/>
          <w:sz w:val="18"/>
        </w:rPr>
        <w:t>(agreed in 119bis)</w:t>
      </w:r>
    </w:p>
    <w:p w14:paraId="1A126077" w14:textId="6898DA34" w:rsidR="00120D60" w:rsidRPr="00120D60" w:rsidRDefault="00120D60" w:rsidP="00C27E68">
      <w:pPr>
        <w:rPr>
          <w:rFonts w:ascii="Calibri" w:eastAsia="等线" w:hAnsi="Calibri" w:cs="Calibri"/>
          <w:b/>
          <w:color w:val="70AD47" w:themeColor="accent6"/>
          <w:sz w:val="18"/>
        </w:rPr>
      </w:pPr>
      <w:r w:rsidRPr="002E7D10">
        <w:rPr>
          <w:rFonts w:ascii="Calibri" w:hAnsi="Calibri" w:cs="Calibri"/>
          <w:b/>
          <w:color w:val="008000"/>
          <w:sz w:val="18"/>
        </w:rPr>
        <w:t xml:space="preserve">QoE measurement type (signalling based, management based) </w:t>
      </w:r>
      <w:r w:rsidRPr="00120D60">
        <w:rPr>
          <w:rFonts w:ascii="Calibri" w:hAnsi="Calibri" w:cs="Calibri"/>
          <w:b/>
          <w:sz w:val="18"/>
        </w:rPr>
        <w:t>(agreed in 119bis)</w:t>
      </w:r>
    </w:p>
    <w:p w14:paraId="467CB064" w14:textId="4617312C" w:rsidR="00C27E68" w:rsidRDefault="00C27E68" w:rsidP="00C27E68">
      <w:pPr>
        <w:rPr>
          <w:rFonts w:ascii="Calibri" w:hAnsi="Calibri" w:cs="Calibri"/>
          <w:b/>
          <w:sz w:val="18"/>
        </w:rPr>
      </w:pPr>
      <w:r w:rsidRPr="002E7D10">
        <w:rPr>
          <w:rFonts w:ascii="Calibri" w:hAnsi="Calibri" w:cs="Calibri"/>
          <w:b/>
          <w:color w:val="008000"/>
          <w:sz w:val="18"/>
        </w:rPr>
        <w:t>Service Type</w:t>
      </w:r>
      <w:r w:rsidR="002E7D10">
        <w:rPr>
          <w:rFonts w:ascii="Calibri" w:hAnsi="Calibri" w:cs="Calibri"/>
          <w:b/>
          <w:color w:val="008000"/>
          <w:sz w:val="18"/>
        </w:rPr>
        <w:t xml:space="preserve"> </w:t>
      </w:r>
      <w:r w:rsidR="002E7D10">
        <w:rPr>
          <w:rFonts w:ascii="Calibri" w:hAnsi="Calibri" w:cs="Calibri"/>
          <w:b/>
          <w:sz w:val="18"/>
        </w:rPr>
        <w:t>(agreed in 121</w:t>
      </w:r>
      <w:r w:rsidR="002E7D10" w:rsidRPr="00120D60">
        <w:rPr>
          <w:rFonts w:ascii="Calibri" w:hAnsi="Calibri" w:cs="Calibri"/>
          <w:b/>
          <w:sz w:val="18"/>
        </w:rPr>
        <w:t>)</w:t>
      </w:r>
    </w:p>
    <w:p w14:paraId="02C649D8" w14:textId="2FDA8A36" w:rsidR="002E7D10" w:rsidRDefault="002E7D10" w:rsidP="00C27E68">
      <w:pPr>
        <w:rPr>
          <w:rFonts w:ascii="Calibri" w:hAnsi="Calibri" w:cs="Calibri"/>
          <w:b/>
          <w:sz w:val="18"/>
        </w:rPr>
      </w:pPr>
      <w:r w:rsidRPr="002E7D10">
        <w:rPr>
          <w:rFonts w:ascii="Calibri" w:hAnsi="Calibri" w:cs="Calibri"/>
          <w:b/>
          <w:color w:val="008000"/>
          <w:sz w:val="18"/>
        </w:rPr>
        <w:t>Awareness of session status</w:t>
      </w:r>
      <w:r>
        <w:rPr>
          <w:rFonts w:ascii="Calibri" w:hAnsi="Calibri" w:cs="Calibri"/>
          <w:b/>
          <w:color w:val="008000"/>
          <w:sz w:val="18"/>
        </w:rPr>
        <w:t xml:space="preserve"> </w:t>
      </w:r>
      <w:r>
        <w:rPr>
          <w:rFonts w:ascii="Calibri" w:hAnsi="Calibri" w:cs="Calibri"/>
          <w:b/>
          <w:sz w:val="18"/>
        </w:rPr>
        <w:t>(agreed in 121</w:t>
      </w:r>
      <w:r w:rsidRPr="00120D60">
        <w:rPr>
          <w:rFonts w:ascii="Calibri" w:hAnsi="Calibri" w:cs="Calibri"/>
          <w:b/>
          <w:sz w:val="18"/>
        </w:rPr>
        <w:t>)</w:t>
      </w:r>
    </w:p>
    <w:p w14:paraId="6DF50C43" w14:textId="73124F65" w:rsidR="002E7D10" w:rsidRPr="002E7D10" w:rsidRDefault="002E7D10" w:rsidP="00C27E68">
      <w:pPr>
        <w:rPr>
          <w:rFonts w:ascii="Calibri" w:eastAsia="等线" w:hAnsi="Calibri" w:cs="Calibri"/>
          <w:b/>
          <w:color w:val="008000"/>
          <w:sz w:val="18"/>
        </w:rPr>
      </w:pPr>
      <w:r w:rsidRPr="002E7D10">
        <w:rPr>
          <w:rFonts w:ascii="Calibri" w:hAnsi="Calibri" w:cs="Calibri"/>
          <w:b/>
          <w:color w:val="008000"/>
          <w:sz w:val="18"/>
        </w:rPr>
        <w:t>Slice sc</w:t>
      </w:r>
      <w:r>
        <w:rPr>
          <w:rFonts w:ascii="Calibri" w:hAnsi="Calibri" w:cs="Calibri"/>
          <w:b/>
          <w:color w:val="008000"/>
          <w:sz w:val="18"/>
        </w:rPr>
        <w:t>ope – Not needed for broadcast</w:t>
      </w:r>
      <w:r w:rsidR="00096353">
        <w:rPr>
          <w:rFonts w:ascii="Calibri" w:hAnsi="Calibri" w:cs="Calibri"/>
          <w:b/>
          <w:sz w:val="18"/>
        </w:rPr>
        <w:t>(agreed in 121</w:t>
      </w:r>
      <w:r w:rsidR="00096353" w:rsidRPr="00120D60">
        <w:rPr>
          <w:rFonts w:ascii="Calibri" w:hAnsi="Calibri" w:cs="Calibri"/>
          <w:b/>
          <w:sz w:val="18"/>
        </w:rPr>
        <w:t>)</w:t>
      </w:r>
    </w:p>
    <w:p w14:paraId="65B28A6E" w14:textId="32A5BA5C" w:rsidR="002E7D10" w:rsidRPr="002E7D10" w:rsidRDefault="002E7D10" w:rsidP="00C27E68">
      <w:pPr>
        <w:rPr>
          <w:rFonts w:ascii="Calibri" w:hAnsi="Calibri" w:cs="Calibri"/>
          <w:b/>
          <w:color w:val="0000FF"/>
          <w:sz w:val="18"/>
        </w:rPr>
      </w:pPr>
      <w:r w:rsidRPr="002E7D10">
        <w:rPr>
          <w:rFonts w:ascii="Calibri" w:hAnsi="Calibri" w:cs="Calibri"/>
          <w:b/>
          <w:color w:val="0000FF"/>
          <w:sz w:val="18"/>
        </w:rPr>
        <w:t>WA: Available RVQOE metrics</w:t>
      </w:r>
    </w:p>
    <w:p w14:paraId="51FFBD37" w14:textId="77777777" w:rsidR="00C27E68" w:rsidRPr="00A41253" w:rsidRDefault="00C27E68" w:rsidP="00C27E68">
      <w:pPr>
        <w:rPr>
          <w:rFonts w:ascii="Calibri" w:hAnsi="Calibri" w:cs="Calibri"/>
          <w:b/>
          <w:color w:val="0000FF"/>
          <w:sz w:val="18"/>
        </w:rPr>
      </w:pPr>
      <w:r w:rsidRPr="00A41253">
        <w:rPr>
          <w:rFonts w:ascii="Calibri" w:hAnsi="Calibri" w:cs="Calibri"/>
          <w:b/>
          <w:color w:val="0000FF"/>
          <w:sz w:val="18"/>
        </w:rPr>
        <w:t>Area Scope of QMC (area scope)</w:t>
      </w:r>
    </w:p>
    <w:p w14:paraId="5D12D26F" w14:textId="77777777" w:rsidR="00096353" w:rsidRPr="00A41253" w:rsidRDefault="00096353" w:rsidP="00096353">
      <w:pPr>
        <w:rPr>
          <w:rFonts w:ascii="Calibri" w:hAnsi="Calibri" w:cs="Calibri"/>
          <w:b/>
          <w:color w:val="0000FF"/>
          <w:sz w:val="18"/>
        </w:rPr>
      </w:pPr>
      <w:r w:rsidRPr="00A41253">
        <w:rPr>
          <w:rFonts w:ascii="Calibri" w:hAnsi="Calibri" w:cs="Calibri"/>
          <w:b/>
          <w:color w:val="0000FF"/>
          <w:sz w:val="18"/>
        </w:rPr>
        <w:t>MDT Alignment Information</w:t>
      </w:r>
    </w:p>
    <w:p w14:paraId="73D8AE81" w14:textId="3093E60D" w:rsidR="004400DB" w:rsidRPr="00096353" w:rsidRDefault="004400DB" w:rsidP="004400DB">
      <w:pPr>
        <w:rPr>
          <w:rFonts w:ascii="Calibri" w:eastAsia="等线" w:hAnsi="Calibri" w:cs="Calibri"/>
          <w:color w:val="0070C0"/>
        </w:rPr>
      </w:pPr>
    </w:p>
    <w:p w14:paraId="790F58A1" w14:textId="285A59B2" w:rsidR="00F020C2" w:rsidRPr="004A4EDF" w:rsidRDefault="00A14FC4" w:rsidP="00FC053A">
      <w:pPr>
        <w:rPr>
          <w:rFonts w:ascii="Times New Roman" w:eastAsia="宋体" w:hAnsi="Times New Roman"/>
          <w:lang w:val="en-US"/>
        </w:rPr>
      </w:pPr>
      <w:r w:rsidRPr="004A4C91">
        <w:rPr>
          <w:rFonts w:ascii="Times New Roman" w:eastAsia="宋体" w:hAnsi="Times New Roman"/>
          <w:lang w:val="en-US"/>
        </w:rPr>
        <w:t>With</w:t>
      </w:r>
      <w:r>
        <w:rPr>
          <w:rFonts w:ascii="Times New Roman" w:eastAsia="宋体" w:hAnsi="Times New Roman"/>
          <w:lang w:val="en-US"/>
        </w:rPr>
        <w:t xml:space="preserve"> respect to whether to use MCE IP address or MCE ID, considering MCE IP address</w:t>
      </w:r>
      <w:r w:rsidR="00DD2C89">
        <w:rPr>
          <w:rFonts w:ascii="Times New Roman" w:eastAsia="宋体" w:hAnsi="Times New Roman"/>
          <w:lang w:val="en-US"/>
        </w:rPr>
        <w:t xml:space="preserve"> IE would be consuming for Uu</w:t>
      </w:r>
      <w:r w:rsidR="00BB5A7B">
        <w:rPr>
          <w:rFonts w:ascii="Times New Roman" w:eastAsia="宋体" w:hAnsi="Times New Roman"/>
          <w:lang w:val="en-US"/>
        </w:rPr>
        <w:t xml:space="preserve"> interface</w:t>
      </w:r>
      <w:r w:rsidR="00DD2C89">
        <w:rPr>
          <w:rFonts w:ascii="Times New Roman" w:eastAsia="宋体" w:hAnsi="Times New Roman"/>
          <w:lang w:val="en-US"/>
        </w:rPr>
        <w:t>, then MCE ID can be considered for UE-based solution</w:t>
      </w:r>
      <w:r w:rsidR="00BB5A7B">
        <w:rPr>
          <w:rFonts w:ascii="Times New Roman" w:eastAsia="宋体" w:hAnsi="Times New Roman"/>
          <w:lang w:val="en-US"/>
        </w:rPr>
        <w:t xml:space="preserve"> </w:t>
      </w:r>
      <w:r w:rsidR="004E4FB4">
        <w:rPr>
          <w:rFonts w:ascii="Times New Roman" w:eastAsia="宋体" w:hAnsi="Times New Roman" w:hint="eastAsia"/>
          <w:lang w:val="en-US"/>
        </w:rPr>
        <w:t>sim</w:t>
      </w:r>
      <w:r w:rsidR="004E4FB4">
        <w:rPr>
          <w:rFonts w:ascii="Times New Roman" w:eastAsia="宋体" w:hAnsi="Times New Roman"/>
          <w:lang w:val="en-US"/>
        </w:rPr>
        <w:t>ilar as the</w:t>
      </w:r>
      <w:r w:rsidR="00BB5A7B">
        <w:rPr>
          <w:rFonts w:ascii="Times New Roman" w:eastAsia="宋体" w:hAnsi="Times New Roman"/>
          <w:lang w:val="en-US"/>
        </w:rPr>
        <w:t xml:space="preserve"> </w:t>
      </w:r>
      <w:r w:rsidR="00F02868">
        <w:rPr>
          <w:rFonts w:ascii="Times New Roman" w:eastAsia="宋体" w:hAnsi="Times New Roman"/>
          <w:lang w:val="en-US"/>
        </w:rPr>
        <w:t xml:space="preserve">logged </w:t>
      </w:r>
      <w:r w:rsidR="00BB5A7B">
        <w:rPr>
          <w:rFonts w:ascii="Times New Roman" w:eastAsia="宋体" w:hAnsi="Times New Roman"/>
          <w:lang w:val="en-US"/>
        </w:rPr>
        <w:t>MDT case</w:t>
      </w:r>
      <w:r w:rsidR="00DD2C89">
        <w:rPr>
          <w:rFonts w:ascii="Times New Roman" w:eastAsia="宋体" w:hAnsi="Times New Roman"/>
          <w:lang w:val="en-US"/>
        </w:rPr>
        <w:t xml:space="preserve">. For CN-based solution, MCE IP address can be directly reused because there is no storage issue for CN although SA2 should be asked for the </w:t>
      </w:r>
      <w:r w:rsidR="00DD2C89" w:rsidRPr="00DD2C89">
        <w:rPr>
          <w:rFonts w:ascii="Times New Roman" w:eastAsia="宋体" w:hAnsi="Times New Roman"/>
          <w:lang w:val="en-US"/>
        </w:rPr>
        <w:t>feasibility</w:t>
      </w:r>
      <w:r w:rsidR="00DD2C89">
        <w:rPr>
          <w:rFonts w:ascii="Times New Roman" w:eastAsia="宋体" w:hAnsi="Times New Roman"/>
          <w:lang w:val="en-US"/>
        </w:rPr>
        <w:t>.</w:t>
      </w:r>
    </w:p>
    <w:p w14:paraId="1DE79B58" w14:textId="1FCE17FF" w:rsidR="007A7225" w:rsidRDefault="00DD2C89" w:rsidP="00DD2C89">
      <w:pPr>
        <w:rPr>
          <w:rFonts w:ascii="Times New Roman" w:eastAsia="宋体" w:hAnsi="Times New Roman"/>
          <w:b/>
          <w:bCs/>
          <w:lang w:val="en-US"/>
        </w:rPr>
      </w:pPr>
      <w:r>
        <w:rPr>
          <w:rFonts w:ascii="Times New Roman" w:eastAsia="宋体" w:hAnsi="Times New Roman" w:hint="eastAsia"/>
          <w:b/>
          <w:bCs/>
          <w:lang w:val="en-US"/>
        </w:rPr>
        <w:t xml:space="preserve">Proposal </w:t>
      </w:r>
      <w:r w:rsidR="007F7143">
        <w:rPr>
          <w:rFonts w:ascii="Times New Roman" w:eastAsia="宋体" w:hAnsi="Times New Roman"/>
          <w:b/>
          <w:bCs/>
          <w:lang w:val="en-US"/>
        </w:rPr>
        <w:t>2</w:t>
      </w:r>
      <w:r>
        <w:rPr>
          <w:rFonts w:ascii="Times New Roman" w:eastAsia="宋体" w:hAnsi="Times New Roman" w:hint="eastAsia"/>
          <w:b/>
          <w:bCs/>
          <w:lang w:val="en-US"/>
        </w:rPr>
        <w:t>:</w:t>
      </w:r>
      <w:r>
        <w:rPr>
          <w:rFonts w:ascii="Times New Roman" w:eastAsia="宋体" w:hAnsi="Times New Roman"/>
          <w:b/>
          <w:bCs/>
          <w:lang w:val="en-US"/>
        </w:rPr>
        <w:t xml:space="preserve"> MCE IP ID information </w:t>
      </w:r>
      <w:r w:rsidR="004E4FB4">
        <w:rPr>
          <w:rFonts w:ascii="Times New Roman" w:eastAsia="宋体" w:hAnsi="Times New Roman"/>
          <w:b/>
          <w:bCs/>
          <w:lang w:val="en-US"/>
        </w:rPr>
        <w:t xml:space="preserve">can </w:t>
      </w:r>
      <w:r>
        <w:rPr>
          <w:rFonts w:ascii="Times New Roman" w:eastAsia="宋体" w:hAnsi="Times New Roman"/>
          <w:b/>
          <w:bCs/>
          <w:lang w:val="en-US"/>
        </w:rPr>
        <w:t xml:space="preserve">be </w:t>
      </w:r>
      <w:r w:rsidR="002C6CB8">
        <w:rPr>
          <w:rFonts w:ascii="Times New Roman" w:eastAsia="宋体" w:hAnsi="Times New Roman"/>
          <w:b/>
          <w:bCs/>
          <w:lang w:val="en-US"/>
        </w:rPr>
        <w:t>provided to new gNB</w:t>
      </w:r>
      <w:r>
        <w:rPr>
          <w:rFonts w:ascii="Times New Roman" w:eastAsia="宋体" w:hAnsi="Times New Roman"/>
          <w:b/>
          <w:bCs/>
          <w:lang w:val="en-US"/>
        </w:rPr>
        <w:t xml:space="preserve"> for UE-based solution, and MCE IP address IE </w:t>
      </w:r>
      <w:r w:rsidR="004E4FB4">
        <w:rPr>
          <w:rFonts w:ascii="Times New Roman" w:eastAsia="宋体" w:hAnsi="Times New Roman"/>
          <w:b/>
          <w:bCs/>
          <w:lang w:val="en-US"/>
        </w:rPr>
        <w:t xml:space="preserve">can </w:t>
      </w:r>
      <w:r>
        <w:rPr>
          <w:rFonts w:ascii="Times New Roman" w:eastAsia="宋体" w:hAnsi="Times New Roman"/>
          <w:b/>
          <w:bCs/>
          <w:lang w:val="en-US"/>
        </w:rPr>
        <w:t>be</w:t>
      </w:r>
      <w:r w:rsidR="002C6CB8">
        <w:rPr>
          <w:rFonts w:ascii="Times New Roman" w:eastAsia="宋体" w:hAnsi="Times New Roman"/>
          <w:b/>
          <w:bCs/>
          <w:lang w:val="en-US"/>
        </w:rPr>
        <w:t xml:space="preserve"> provided to new gNB</w:t>
      </w:r>
      <w:r>
        <w:rPr>
          <w:rFonts w:ascii="Times New Roman" w:eastAsia="宋体" w:hAnsi="Times New Roman"/>
          <w:b/>
          <w:bCs/>
          <w:lang w:val="en-US"/>
        </w:rPr>
        <w:t xml:space="preserve"> for CN-based solution.</w:t>
      </w:r>
    </w:p>
    <w:p w14:paraId="7CB4A33C" w14:textId="049FA856" w:rsidR="00DD2C89" w:rsidRDefault="00DD2C89" w:rsidP="00DD2C89">
      <w:pPr>
        <w:rPr>
          <w:rFonts w:ascii="Times New Roman" w:eastAsia="宋体" w:hAnsi="Times New Roman"/>
          <w:b/>
          <w:bCs/>
          <w:lang w:val="en-US"/>
        </w:rPr>
      </w:pPr>
    </w:p>
    <w:p w14:paraId="7C09A169" w14:textId="54425944" w:rsidR="004A4EDF" w:rsidRPr="004A4EDF" w:rsidRDefault="004A4EDF" w:rsidP="00DD2C89">
      <w:pPr>
        <w:rPr>
          <w:rFonts w:ascii="Times New Roman" w:eastAsia="宋体" w:hAnsi="Times New Roman"/>
          <w:bCs/>
          <w:lang w:val="en-US"/>
        </w:rPr>
      </w:pPr>
      <w:r>
        <w:rPr>
          <w:rFonts w:ascii="Times New Roman" w:eastAsia="宋体" w:hAnsi="Times New Roman"/>
          <w:bCs/>
          <w:lang w:val="en-US"/>
        </w:rPr>
        <w:t>An agreement has been made during in last meeting:</w:t>
      </w:r>
    </w:p>
    <w:p w14:paraId="1963402E" w14:textId="77777777" w:rsidR="004A4EDF" w:rsidRPr="004A4EDF" w:rsidRDefault="004A4EDF" w:rsidP="004A4EDF">
      <w:pPr>
        <w:rPr>
          <w:rFonts w:ascii="Calibri" w:hAnsi="Calibri" w:cs="Calibri"/>
          <w:b/>
          <w:color w:val="008000"/>
          <w:sz w:val="18"/>
        </w:rPr>
      </w:pPr>
      <w:r w:rsidRPr="004A4EDF">
        <w:rPr>
          <w:rFonts w:ascii="Calibri" w:hAnsi="Calibri" w:cs="Calibri"/>
          <w:b/>
          <w:color w:val="008000"/>
          <w:sz w:val="18"/>
        </w:rPr>
        <w:t>When a UE is in the RRC_CONNECTED state, the area scope checking is done by the RAN, based on the Area Scope of QMC IE, in line with the current network behavior as specified in TS 38.413.</w:t>
      </w:r>
    </w:p>
    <w:p w14:paraId="432D63FA" w14:textId="77777777" w:rsidR="004A4EDF" w:rsidRPr="004A4EDF" w:rsidRDefault="004A4EDF" w:rsidP="00DD2C89">
      <w:pPr>
        <w:rPr>
          <w:rFonts w:ascii="Times New Roman" w:eastAsia="宋体" w:hAnsi="Times New Roman"/>
          <w:b/>
          <w:bCs/>
        </w:rPr>
      </w:pPr>
    </w:p>
    <w:p w14:paraId="28DB8174" w14:textId="2458C16A" w:rsidR="004A4EDF" w:rsidRPr="00284144" w:rsidRDefault="004A4EDF" w:rsidP="004A4EDF">
      <w:pPr>
        <w:rPr>
          <w:rFonts w:ascii="Times New Roman" w:eastAsia="宋体" w:hAnsi="Times New Roman"/>
          <w:bCs/>
          <w:lang w:val="en-US"/>
        </w:rPr>
      </w:pPr>
      <w:r>
        <w:rPr>
          <w:rFonts w:ascii="Times New Roman" w:eastAsia="宋体" w:hAnsi="Times New Roman"/>
          <w:bCs/>
          <w:lang w:val="en-US"/>
        </w:rPr>
        <w:t>In last meeting, RAN3 decided that RAN check the area scope in RRC_CONNECTED state</w:t>
      </w:r>
      <w:r w:rsidR="00776CDB">
        <w:rPr>
          <w:rFonts w:ascii="Times New Roman" w:eastAsia="宋体" w:hAnsi="Times New Roman"/>
          <w:bCs/>
          <w:lang w:val="en-US"/>
        </w:rPr>
        <w:t xml:space="preserve">. When </w:t>
      </w:r>
      <w:r>
        <w:rPr>
          <w:rFonts w:ascii="Times New Roman" w:eastAsia="宋体" w:hAnsi="Times New Roman"/>
          <w:bCs/>
          <w:lang w:val="en-US"/>
        </w:rPr>
        <w:t>UE comes back from RRC_IDLE</w:t>
      </w:r>
      <w:r w:rsidR="00776CDB">
        <w:rPr>
          <w:rFonts w:ascii="Times New Roman" w:eastAsia="宋体" w:hAnsi="Times New Roman"/>
          <w:bCs/>
          <w:lang w:val="en-US"/>
        </w:rPr>
        <w:t xml:space="preserve"> to </w:t>
      </w:r>
      <w:r w:rsidR="00776CDB" w:rsidRPr="00976BD0">
        <w:rPr>
          <w:rFonts w:ascii="Times New Roman" w:eastAsia="宋体" w:hAnsi="Times New Roman"/>
          <w:bCs/>
          <w:lang w:val="en-US"/>
        </w:rPr>
        <w:t>RRC_CONNECTED</w:t>
      </w:r>
      <w:r w:rsidR="00776CDB">
        <w:rPr>
          <w:rFonts w:ascii="Times New Roman" w:eastAsia="宋体" w:hAnsi="Times New Roman"/>
          <w:bCs/>
          <w:lang w:val="en-US"/>
        </w:rPr>
        <w:t xml:space="preserve"> state</w:t>
      </w:r>
      <w:r>
        <w:rPr>
          <w:rFonts w:ascii="Times New Roman" w:eastAsia="宋体" w:hAnsi="Times New Roman"/>
          <w:bCs/>
          <w:lang w:val="en-US"/>
        </w:rPr>
        <w:t>, gNB need</w:t>
      </w:r>
      <w:r w:rsidR="00776CDB">
        <w:rPr>
          <w:rFonts w:ascii="Times New Roman" w:eastAsia="宋体" w:hAnsi="Times New Roman"/>
          <w:bCs/>
          <w:lang w:val="en-US"/>
        </w:rPr>
        <w:t>s</w:t>
      </w:r>
      <w:r>
        <w:rPr>
          <w:rFonts w:ascii="Times New Roman" w:eastAsia="宋体" w:hAnsi="Times New Roman"/>
          <w:bCs/>
          <w:lang w:val="en-US"/>
        </w:rPr>
        <w:t xml:space="preserve"> to perform area scope checking,</w:t>
      </w:r>
      <w:r w:rsidRPr="00284144">
        <w:rPr>
          <w:rFonts w:ascii="Times New Roman" w:eastAsia="宋体" w:hAnsi="Times New Roman"/>
          <w:bCs/>
          <w:lang w:val="en-US"/>
        </w:rPr>
        <w:t xml:space="preserve"> </w:t>
      </w:r>
      <w:r w:rsidR="00776CDB">
        <w:rPr>
          <w:rFonts w:ascii="Times New Roman" w:eastAsia="宋体" w:hAnsi="Times New Roman"/>
          <w:bCs/>
          <w:lang w:val="en-US"/>
        </w:rPr>
        <w:t xml:space="preserve">and </w:t>
      </w:r>
      <w:r>
        <w:rPr>
          <w:rFonts w:ascii="Times New Roman" w:eastAsia="宋体" w:hAnsi="Times New Roman"/>
          <w:bCs/>
          <w:lang w:val="en-US"/>
        </w:rPr>
        <w:t>then area scope IE should be available at new gNB.</w:t>
      </w:r>
    </w:p>
    <w:p w14:paraId="20C468A9" w14:textId="7C00CB08" w:rsidR="00976BD0" w:rsidRDefault="00284144" w:rsidP="00284144">
      <w:pPr>
        <w:rPr>
          <w:rFonts w:ascii="Times New Roman" w:eastAsia="宋体" w:hAnsi="Times New Roman"/>
          <w:bCs/>
          <w:lang w:val="en-US"/>
        </w:rPr>
      </w:pPr>
      <w:r w:rsidRPr="00284144">
        <w:rPr>
          <w:rFonts w:ascii="Times New Roman" w:eastAsia="宋体" w:hAnsi="Times New Roman" w:hint="eastAsia"/>
          <w:b/>
          <w:bCs/>
          <w:lang w:val="en-US"/>
        </w:rPr>
        <w:t xml:space="preserve">Proposal </w:t>
      </w:r>
      <w:r w:rsidR="004A4EDF">
        <w:rPr>
          <w:rFonts w:ascii="Times New Roman" w:eastAsia="宋体" w:hAnsi="Times New Roman"/>
          <w:b/>
          <w:bCs/>
          <w:lang w:val="en-US"/>
        </w:rPr>
        <w:t>3</w:t>
      </w:r>
      <w:r w:rsidRPr="00284144">
        <w:rPr>
          <w:rFonts w:ascii="Times New Roman" w:eastAsia="宋体" w:hAnsi="Times New Roman" w:hint="eastAsia"/>
          <w:b/>
          <w:bCs/>
          <w:lang w:val="en-US"/>
        </w:rPr>
        <w:t>:</w:t>
      </w:r>
      <w:r>
        <w:rPr>
          <w:rFonts w:ascii="Times New Roman" w:eastAsia="宋体" w:hAnsi="Times New Roman"/>
          <w:b/>
          <w:bCs/>
          <w:lang w:val="en-US"/>
        </w:rPr>
        <w:t xml:space="preserve"> Area Scope IE </w:t>
      </w:r>
      <w:r w:rsidR="00776CDB">
        <w:rPr>
          <w:rFonts w:ascii="Times New Roman" w:eastAsia="宋体" w:hAnsi="Times New Roman"/>
          <w:b/>
          <w:bCs/>
          <w:lang w:val="en-US"/>
        </w:rPr>
        <w:t xml:space="preserve">can </w:t>
      </w:r>
      <w:r>
        <w:rPr>
          <w:rFonts w:ascii="Times New Roman" w:eastAsia="宋体" w:hAnsi="Times New Roman"/>
          <w:b/>
          <w:bCs/>
          <w:lang w:val="en-US"/>
        </w:rPr>
        <w:t xml:space="preserve">be provided to new </w:t>
      </w:r>
      <w:r w:rsidR="00032F32">
        <w:rPr>
          <w:rFonts w:ascii="Times New Roman" w:eastAsia="宋体" w:hAnsi="Times New Roman"/>
          <w:b/>
          <w:bCs/>
          <w:lang w:val="en-US"/>
        </w:rPr>
        <w:t>gNB</w:t>
      </w:r>
      <w:r>
        <w:rPr>
          <w:rFonts w:ascii="Times New Roman" w:eastAsia="宋体" w:hAnsi="Times New Roman"/>
          <w:b/>
          <w:bCs/>
          <w:lang w:val="en-US"/>
        </w:rPr>
        <w:t xml:space="preserve"> for MBS BC QoE.</w:t>
      </w:r>
    </w:p>
    <w:p w14:paraId="52ADDBEE" w14:textId="788697D4" w:rsidR="00A87A4A" w:rsidRDefault="00A87A4A" w:rsidP="00337298">
      <w:pPr>
        <w:rPr>
          <w:rFonts w:ascii="Times New Roman" w:eastAsia="宋体" w:hAnsi="Times New Roman"/>
          <w:lang w:val="en-US"/>
        </w:rPr>
      </w:pPr>
    </w:p>
    <w:p w14:paraId="332A480B" w14:textId="0D610795" w:rsidR="00EA51C8" w:rsidRDefault="00232F94" w:rsidP="00337298">
      <w:pPr>
        <w:rPr>
          <w:rFonts w:ascii="Times New Roman" w:eastAsia="宋体" w:hAnsi="Times New Roman"/>
          <w:lang w:val="en-US"/>
        </w:rPr>
      </w:pPr>
      <w:r>
        <w:rPr>
          <w:rFonts w:ascii="Times New Roman" w:eastAsia="宋体" w:hAnsi="Times New Roman"/>
          <w:lang w:val="en-US"/>
        </w:rPr>
        <w:t xml:space="preserve">Based on the following </w:t>
      </w:r>
      <w:r w:rsidR="007F7143">
        <w:rPr>
          <w:rFonts w:ascii="Times New Roman" w:eastAsia="宋体" w:hAnsi="Times New Roman"/>
          <w:lang w:val="en-US"/>
        </w:rPr>
        <w:t>agreements made in #119</w:t>
      </w:r>
      <w:r>
        <w:rPr>
          <w:rFonts w:ascii="Times New Roman" w:eastAsia="宋体" w:hAnsi="Times New Roman"/>
          <w:lang w:val="en-US"/>
        </w:rPr>
        <w:t xml:space="preserve"> meeting:</w:t>
      </w:r>
    </w:p>
    <w:p w14:paraId="38B4E75B" w14:textId="4705742E" w:rsidR="00120D60" w:rsidRPr="00232F94" w:rsidRDefault="00120D60" w:rsidP="00337298">
      <w:pPr>
        <w:rPr>
          <w:rFonts w:ascii="Calibri" w:hAnsi="Calibri" w:cs="Calibri"/>
          <w:b/>
          <w:color w:val="008000"/>
          <w:sz w:val="18"/>
          <w:lang w:eastAsia="en-US"/>
        </w:rPr>
      </w:pPr>
      <w:r>
        <w:rPr>
          <w:rFonts w:ascii="Calibri" w:hAnsi="Calibri" w:cs="Calibri"/>
          <w:b/>
          <w:color w:val="008000"/>
          <w:sz w:val="18"/>
          <w:lang w:eastAsia="en-US"/>
        </w:rPr>
        <w:t>For MBS QoE, an M-based QoE configuration shall not overwrite the S-based QoE configuration stored at the UE by the new gNB.</w:t>
      </w:r>
    </w:p>
    <w:p w14:paraId="69CD377D" w14:textId="72E9D816" w:rsidR="00120D60" w:rsidRPr="00120D60" w:rsidRDefault="00120D60" w:rsidP="00120D60">
      <w:pPr>
        <w:spacing w:after="100" w:afterAutospacing="1"/>
        <w:rPr>
          <w:rFonts w:ascii="Calibri" w:eastAsia="等线" w:hAnsi="Calibri" w:cs="Calibri"/>
          <w:b/>
          <w:color w:val="008000"/>
          <w:sz w:val="18"/>
        </w:rPr>
      </w:pPr>
      <w:r>
        <w:rPr>
          <w:rFonts w:ascii="Calibri" w:hAnsi="Calibri" w:cs="Calibri"/>
          <w:b/>
          <w:color w:val="008000"/>
          <w:sz w:val="18"/>
        </w:rPr>
        <w:t>QoE measurement type (s-based or m-based measurement) for MBS broadcast service should be available in the gNB serving the UE after the transition from RRC_IDLE to RRC_CONNECTED.</w:t>
      </w:r>
    </w:p>
    <w:p w14:paraId="47947BD6" w14:textId="5E6FDF96" w:rsidR="00296DEC" w:rsidRPr="00562DA4" w:rsidRDefault="00232F94" w:rsidP="00337298">
      <w:pPr>
        <w:rPr>
          <w:rFonts w:ascii="Times New Roman" w:eastAsia="宋体" w:hAnsi="Times New Roman"/>
          <w:bCs/>
          <w:lang w:val="en-US"/>
        </w:rPr>
      </w:pPr>
      <w:r>
        <w:rPr>
          <w:rFonts w:ascii="Times New Roman" w:eastAsia="宋体" w:hAnsi="Times New Roman"/>
          <w:lang w:val="en-US"/>
        </w:rPr>
        <w:t xml:space="preserve">To avoid overriding issue, </w:t>
      </w:r>
      <w:r w:rsidR="00FC2217">
        <w:rPr>
          <w:rFonts w:ascii="Times New Roman" w:eastAsia="宋体" w:hAnsi="Times New Roman"/>
          <w:bCs/>
          <w:lang w:val="en-US"/>
        </w:rPr>
        <w:t>the amount of config</w:t>
      </w:r>
      <w:r>
        <w:rPr>
          <w:rFonts w:ascii="Times New Roman" w:eastAsia="宋体" w:hAnsi="Times New Roman"/>
          <w:bCs/>
          <w:lang w:val="en-US"/>
        </w:rPr>
        <w:t>ured QoE measurement should be provided</w:t>
      </w:r>
      <w:r w:rsidR="00FC2217">
        <w:rPr>
          <w:rFonts w:ascii="Times New Roman" w:eastAsia="宋体" w:hAnsi="Times New Roman"/>
          <w:bCs/>
          <w:lang w:val="en-US"/>
        </w:rPr>
        <w:t xml:space="preserve"> to gNB</w:t>
      </w:r>
      <w:r>
        <w:rPr>
          <w:rFonts w:ascii="Times New Roman" w:eastAsia="宋体" w:hAnsi="Times New Roman"/>
          <w:bCs/>
          <w:lang w:val="en-US"/>
        </w:rPr>
        <w:t xml:space="preserve"> at the beginning of RRC setup</w:t>
      </w:r>
      <w:r w:rsidR="00FC2217">
        <w:rPr>
          <w:rFonts w:ascii="Times New Roman" w:eastAsia="宋体" w:hAnsi="Times New Roman"/>
          <w:bCs/>
          <w:lang w:val="en-US"/>
        </w:rPr>
        <w:t xml:space="preserve">, </w:t>
      </w:r>
      <w:r w:rsidR="00776CDB">
        <w:rPr>
          <w:rFonts w:ascii="Times New Roman" w:eastAsia="宋体" w:hAnsi="Times New Roman"/>
          <w:bCs/>
          <w:lang w:val="en-US"/>
        </w:rPr>
        <w:t xml:space="preserve">and </w:t>
      </w:r>
      <w:r w:rsidR="00FC2217">
        <w:rPr>
          <w:rFonts w:ascii="Times New Roman" w:eastAsia="宋体" w:hAnsi="Times New Roman"/>
          <w:bCs/>
          <w:lang w:val="en-US"/>
        </w:rPr>
        <w:t>then</w:t>
      </w:r>
      <w:r>
        <w:rPr>
          <w:rFonts w:ascii="Times New Roman" w:eastAsia="宋体" w:hAnsi="Times New Roman"/>
          <w:bCs/>
          <w:lang w:val="en-US"/>
        </w:rPr>
        <w:t xml:space="preserve"> </w:t>
      </w:r>
      <w:r w:rsidR="00776CDB">
        <w:rPr>
          <w:rFonts w:ascii="Times New Roman" w:eastAsia="宋体" w:hAnsi="Times New Roman"/>
          <w:bCs/>
          <w:lang w:val="en-US"/>
        </w:rPr>
        <w:t xml:space="preserve">the </w:t>
      </w:r>
      <w:r>
        <w:rPr>
          <w:rFonts w:ascii="Times New Roman" w:eastAsia="宋体" w:hAnsi="Times New Roman"/>
          <w:bCs/>
          <w:lang w:val="en-US"/>
        </w:rPr>
        <w:t>new</w:t>
      </w:r>
      <w:r w:rsidR="00FC2217">
        <w:rPr>
          <w:rFonts w:ascii="Times New Roman" w:eastAsia="宋体" w:hAnsi="Times New Roman"/>
          <w:bCs/>
          <w:lang w:val="en-US"/>
        </w:rPr>
        <w:t xml:space="preserve"> gNB can </w:t>
      </w:r>
      <w:r w:rsidR="00FC2217" w:rsidRPr="005325BB">
        <w:rPr>
          <w:rFonts w:ascii="Times New Roman" w:eastAsia="宋体" w:hAnsi="Times New Roman"/>
          <w:bCs/>
          <w:lang w:val="en-US"/>
        </w:rPr>
        <w:t xml:space="preserve">send the </w:t>
      </w:r>
      <w:r>
        <w:rPr>
          <w:rFonts w:ascii="Times New Roman" w:eastAsia="宋体" w:hAnsi="Times New Roman"/>
          <w:bCs/>
          <w:lang w:val="en-US"/>
        </w:rPr>
        <w:t>new QoE</w:t>
      </w:r>
      <w:r w:rsidR="00051974">
        <w:rPr>
          <w:rFonts w:ascii="Times New Roman" w:eastAsia="宋体" w:hAnsi="Times New Roman"/>
          <w:bCs/>
          <w:lang w:val="en-US"/>
        </w:rPr>
        <w:t xml:space="preserve"> configuration</w:t>
      </w:r>
      <w:r w:rsidR="00051974">
        <w:rPr>
          <w:rFonts w:ascii="Times New Roman" w:eastAsia="宋体" w:hAnsi="Times New Roman" w:hint="eastAsia"/>
          <w:bCs/>
          <w:lang w:val="en-US"/>
        </w:rPr>
        <w:t>(</w:t>
      </w:r>
      <w:r w:rsidR="00051974">
        <w:rPr>
          <w:rFonts w:ascii="Times New Roman" w:eastAsia="宋体" w:hAnsi="Times New Roman"/>
          <w:bCs/>
          <w:lang w:val="en-US"/>
        </w:rPr>
        <w:t>s)</w:t>
      </w:r>
      <w:r w:rsidR="00FC2217" w:rsidRPr="005325BB">
        <w:rPr>
          <w:rFonts w:ascii="Times New Roman" w:eastAsia="宋体" w:hAnsi="Times New Roman"/>
          <w:bCs/>
          <w:lang w:val="en-US"/>
        </w:rPr>
        <w:t xml:space="preserve"> to the UE based on the </w:t>
      </w:r>
      <w:r w:rsidR="00FC2217">
        <w:rPr>
          <w:rFonts w:ascii="Times New Roman" w:eastAsia="宋体" w:hAnsi="Times New Roman"/>
          <w:bCs/>
          <w:lang w:val="en-US"/>
        </w:rPr>
        <w:t xml:space="preserve">existing </w:t>
      </w:r>
      <w:r w:rsidR="00FC2217" w:rsidRPr="005325BB">
        <w:rPr>
          <w:rFonts w:ascii="Times New Roman" w:eastAsia="宋体" w:hAnsi="Times New Roman"/>
          <w:bCs/>
          <w:lang w:val="en-US"/>
        </w:rPr>
        <w:t xml:space="preserve">number of QoE measurement configurations </w:t>
      </w:r>
      <w:r>
        <w:rPr>
          <w:rFonts w:ascii="Times New Roman" w:eastAsia="宋体" w:hAnsi="Times New Roman"/>
          <w:bCs/>
          <w:lang w:val="en-US"/>
        </w:rPr>
        <w:t xml:space="preserve">already </w:t>
      </w:r>
      <w:r w:rsidR="00FC2217" w:rsidRPr="005325BB">
        <w:rPr>
          <w:rFonts w:ascii="Times New Roman" w:eastAsia="宋体" w:hAnsi="Times New Roman"/>
          <w:bCs/>
          <w:lang w:val="en-US"/>
        </w:rPr>
        <w:t>in UE.</w:t>
      </w:r>
      <w:r w:rsidR="00FC2217">
        <w:rPr>
          <w:rFonts w:ascii="Times New Roman" w:eastAsia="宋体" w:hAnsi="Times New Roman"/>
          <w:bCs/>
          <w:lang w:val="en-US"/>
        </w:rPr>
        <w:t xml:space="preserve"> UE </w:t>
      </w:r>
      <w:r>
        <w:rPr>
          <w:rFonts w:ascii="Times New Roman" w:eastAsia="宋体" w:hAnsi="Times New Roman"/>
          <w:bCs/>
          <w:lang w:val="en-US"/>
        </w:rPr>
        <w:t>can indicate the total number of</w:t>
      </w:r>
      <w:r w:rsidR="00FC2217">
        <w:rPr>
          <w:rFonts w:ascii="Times New Roman" w:eastAsia="宋体" w:hAnsi="Times New Roman"/>
          <w:bCs/>
          <w:lang w:val="en-US"/>
        </w:rPr>
        <w:t xml:space="preserve"> </w:t>
      </w:r>
      <w:r w:rsidR="00776CDB">
        <w:rPr>
          <w:rFonts w:ascii="Times New Roman" w:eastAsia="宋体" w:hAnsi="Times New Roman" w:hint="eastAsia"/>
          <w:bCs/>
          <w:lang w:val="en-US"/>
        </w:rPr>
        <w:t>the</w:t>
      </w:r>
      <w:r w:rsidR="00776CDB">
        <w:rPr>
          <w:rFonts w:ascii="Times New Roman" w:eastAsia="宋体" w:hAnsi="Times New Roman"/>
          <w:bCs/>
          <w:lang w:val="en-US"/>
        </w:rPr>
        <w:t xml:space="preserve"> </w:t>
      </w:r>
      <w:r>
        <w:rPr>
          <w:rFonts w:ascii="Times New Roman" w:eastAsia="宋体" w:hAnsi="Times New Roman"/>
          <w:bCs/>
          <w:lang w:val="en-US"/>
        </w:rPr>
        <w:t xml:space="preserve">configured </w:t>
      </w:r>
      <w:r w:rsidR="00FC2217">
        <w:rPr>
          <w:rFonts w:ascii="Times New Roman" w:eastAsia="宋体" w:hAnsi="Times New Roman"/>
          <w:bCs/>
          <w:lang w:val="en-US"/>
        </w:rPr>
        <w:t xml:space="preserve">QoE </w:t>
      </w:r>
      <w:r>
        <w:rPr>
          <w:rFonts w:ascii="Times New Roman" w:eastAsia="宋体" w:hAnsi="Times New Roman"/>
          <w:bCs/>
          <w:lang w:val="en-US"/>
        </w:rPr>
        <w:t>measurements</w:t>
      </w:r>
      <w:r w:rsidR="00776CDB">
        <w:rPr>
          <w:rFonts w:ascii="Times New Roman" w:eastAsia="宋体" w:hAnsi="Times New Roman"/>
          <w:bCs/>
          <w:lang w:val="en-US"/>
        </w:rPr>
        <w:t>.</w:t>
      </w:r>
      <w:r>
        <w:rPr>
          <w:rFonts w:ascii="Times New Roman" w:eastAsia="宋体" w:hAnsi="Times New Roman"/>
          <w:bCs/>
          <w:lang w:val="en-US"/>
        </w:rPr>
        <w:t xml:space="preserve"> </w:t>
      </w:r>
    </w:p>
    <w:p w14:paraId="205238B7" w14:textId="04E157B6" w:rsidR="00EA51C8" w:rsidRPr="00227DE6" w:rsidRDefault="00562DA4" w:rsidP="00337298">
      <w:pPr>
        <w:rPr>
          <w:rFonts w:ascii="Times New Roman" w:eastAsia="宋体" w:hAnsi="Times New Roman"/>
          <w:b/>
          <w:bCs/>
          <w:lang w:val="en-US"/>
        </w:rPr>
      </w:pPr>
      <w:r>
        <w:rPr>
          <w:rFonts w:ascii="Times New Roman" w:eastAsia="宋体" w:hAnsi="Times New Roman" w:hint="eastAsia"/>
          <w:b/>
          <w:bCs/>
          <w:lang w:val="en-US"/>
        </w:rPr>
        <w:t>Proposal</w:t>
      </w:r>
      <w:r w:rsidR="00963763">
        <w:rPr>
          <w:rFonts w:ascii="Times New Roman" w:eastAsia="宋体" w:hAnsi="Times New Roman"/>
          <w:b/>
          <w:bCs/>
          <w:lang w:val="en-US"/>
        </w:rPr>
        <w:t xml:space="preserve"> </w:t>
      </w:r>
      <w:r w:rsidR="004A4EDF">
        <w:rPr>
          <w:rFonts w:ascii="Times New Roman" w:eastAsia="宋体" w:hAnsi="Times New Roman"/>
          <w:b/>
          <w:bCs/>
          <w:lang w:val="en-US"/>
        </w:rPr>
        <w:t>4</w:t>
      </w:r>
      <w:r>
        <w:rPr>
          <w:rFonts w:ascii="Times New Roman" w:eastAsia="宋体" w:hAnsi="Times New Roman" w:hint="eastAsia"/>
          <w:b/>
          <w:bCs/>
          <w:lang w:val="en-US"/>
        </w:rPr>
        <w:t>:</w:t>
      </w:r>
      <w:r>
        <w:rPr>
          <w:rFonts w:ascii="Times New Roman" w:eastAsia="宋体" w:hAnsi="Times New Roman"/>
          <w:b/>
          <w:bCs/>
          <w:lang w:val="en-US"/>
        </w:rPr>
        <w:t xml:space="preserve"> UE </w:t>
      </w:r>
      <w:r w:rsidR="00776CDB">
        <w:rPr>
          <w:rFonts w:ascii="Times New Roman" w:eastAsia="宋体" w:hAnsi="Times New Roman"/>
          <w:b/>
          <w:bCs/>
          <w:lang w:val="en-US"/>
        </w:rPr>
        <w:t xml:space="preserve">can </w:t>
      </w:r>
      <w:r>
        <w:rPr>
          <w:rFonts w:ascii="Times New Roman" w:eastAsia="宋体" w:hAnsi="Times New Roman"/>
          <w:b/>
          <w:bCs/>
          <w:lang w:val="en-US"/>
        </w:rPr>
        <w:t xml:space="preserve">include </w:t>
      </w:r>
      <w:r w:rsidRPr="005325BB">
        <w:rPr>
          <w:rFonts w:ascii="Times New Roman" w:eastAsia="宋体" w:hAnsi="Times New Roman"/>
          <w:b/>
          <w:bCs/>
          <w:lang w:val="en-US"/>
        </w:rPr>
        <w:t xml:space="preserve">the number of </w:t>
      </w:r>
      <w:r w:rsidR="00051974">
        <w:rPr>
          <w:rFonts w:ascii="Times New Roman" w:eastAsia="宋体" w:hAnsi="Times New Roman"/>
          <w:b/>
          <w:bCs/>
          <w:lang w:val="en-US"/>
        </w:rPr>
        <w:t>existing</w:t>
      </w:r>
      <w:r w:rsidRPr="005325BB">
        <w:rPr>
          <w:rFonts w:ascii="Times New Roman" w:eastAsia="宋体" w:hAnsi="Times New Roman"/>
          <w:b/>
          <w:bCs/>
          <w:lang w:val="en-US"/>
        </w:rPr>
        <w:t xml:space="preserve"> QoE configuration</w:t>
      </w:r>
      <w:r>
        <w:rPr>
          <w:rFonts w:ascii="Times New Roman" w:eastAsia="宋体" w:hAnsi="Times New Roman"/>
          <w:b/>
          <w:bCs/>
          <w:lang w:val="en-US"/>
        </w:rPr>
        <w:t xml:space="preserve"> when </w:t>
      </w:r>
      <w:r w:rsidRPr="00AC568E">
        <w:rPr>
          <w:rFonts w:ascii="Times New Roman" w:eastAsia="宋体" w:hAnsi="Times New Roman"/>
          <w:b/>
          <w:lang w:val="en-US"/>
        </w:rPr>
        <w:t>the UE switches from RRC_IDLE to RRC_CONNECTED</w:t>
      </w:r>
      <w:r>
        <w:rPr>
          <w:rFonts w:ascii="Times New Roman" w:eastAsia="宋体" w:hAnsi="Times New Roman"/>
          <w:b/>
          <w:lang w:val="en-US"/>
        </w:rPr>
        <w:t xml:space="preserve"> </w:t>
      </w:r>
      <w:r w:rsidRPr="005325BB">
        <w:rPr>
          <w:rFonts w:ascii="Times New Roman" w:eastAsia="宋体" w:hAnsi="Times New Roman"/>
          <w:b/>
          <w:lang w:val="en-US"/>
        </w:rPr>
        <w:t>in RRCSetupComplete mess</w:t>
      </w:r>
      <w:r>
        <w:rPr>
          <w:rFonts w:ascii="Times New Roman" w:eastAsia="宋体" w:hAnsi="Times New Roman"/>
          <w:b/>
          <w:lang w:val="en-US"/>
        </w:rPr>
        <w:t>age to avoid overriding issue.</w:t>
      </w:r>
    </w:p>
    <w:p w14:paraId="73CE8D29" w14:textId="7DE52D10" w:rsidR="00227DE6" w:rsidRDefault="00227DE6">
      <w:pPr>
        <w:rPr>
          <w:rFonts w:eastAsia="宋体"/>
          <w:lang w:val="en-US"/>
        </w:rPr>
      </w:pPr>
    </w:p>
    <w:p w14:paraId="08C1BFD6" w14:textId="1CEDBF30" w:rsidR="00BC6FF0" w:rsidRPr="00AC568E" w:rsidRDefault="00227DE6" w:rsidP="001615B6">
      <w:pPr>
        <w:rPr>
          <w:rFonts w:ascii="Times New Roman" w:eastAsia="宋体" w:hAnsi="Times New Roman"/>
          <w:bCs/>
          <w:lang w:val="en-US"/>
        </w:rPr>
      </w:pPr>
      <w:r>
        <w:rPr>
          <w:rFonts w:ascii="Times New Roman" w:eastAsia="宋体" w:hAnsi="Times New Roman"/>
          <w:bCs/>
          <w:lang w:val="en-US"/>
        </w:rPr>
        <w:t>The new</w:t>
      </w:r>
      <w:r w:rsidR="00BC6FF0">
        <w:rPr>
          <w:rFonts w:ascii="Times New Roman" w:eastAsia="宋体" w:hAnsi="Times New Roman"/>
          <w:bCs/>
          <w:lang w:val="en-US"/>
        </w:rPr>
        <w:t xml:space="preserve"> gNB should be </w:t>
      </w:r>
      <w:r>
        <w:rPr>
          <w:rFonts w:ascii="Times New Roman" w:eastAsia="宋体" w:hAnsi="Times New Roman"/>
          <w:bCs/>
          <w:lang w:val="en-US"/>
        </w:rPr>
        <w:t>provided with the information demonstrated above, b</w:t>
      </w:r>
      <w:r w:rsidR="00BC6FF0" w:rsidRPr="001615B6">
        <w:rPr>
          <w:rFonts w:ascii="Times New Roman" w:eastAsia="宋体" w:hAnsi="Times New Roman"/>
          <w:bCs/>
          <w:lang w:val="en-US"/>
        </w:rPr>
        <w:t>oth</w:t>
      </w:r>
      <w:r w:rsidR="00BC6FF0">
        <w:rPr>
          <w:rFonts w:ascii="Times New Roman" w:eastAsia="宋体" w:hAnsi="Times New Roman"/>
          <w:bCs/>
          <w:lang w:val="en-US"/>
        </w:rPr>
        <w:t xml:space="preserve"> CN-based and UE-based solution seem feasible to handle this issue</w:t>
      </w:r>
      <w:r w:rsidR="00776CDB">
        <w:rPr>
          <w:rFonts w:ascii="Times New Roman" w:eastAsia="宋体" w:hAnsi="Times New Roman"/>
          <w:bCs/>
          <w:lang w:val="en-US"/>
        </w:rPr>
        <w:t xml:space="preserve">. But </w:t>
      </w:r>
      <w:r w:rsidR="00AC568E">
        <w:rPr>
          <w:rFonts w:ascii="Times New Roman" w:eastAsia="宋体" w:hAnsi="Times New Roman"/>
          <w:bCs/>
          <w:lang w:val="en-US"/>
        </w:rPr>
        <w:t xml:space="preserve">considering CN-based solution would bring large impacts on Core Network which need to store all the </w:t>
      </w:r>
      <w:r w:rsidR="00AC568E" w:rsidRPr="003D6DF8">
        <w:rPr>
          <w:rFonts w:ascii="Times New Roman" w:eastAsia="宋体" w:hAnsi="Times New Roman"/>
          <w:bCs/>
          <w:lang w:val="en-US"/>
        </w:rPr>
        <w:t>network instance QoE configuration</w:t>
      </w:r>
      <w:r w:rsidR="00AC568E">
        <w:rPr>
          <w:rFonts w:ascii="Times New Roman" w:eastAsia="宋体" w:hAnsi="Times New Roman"/>
          <w:bCs/>
          <w:lang w:val="en-US"/>
        </w:rPr>
        <w:t xml:space="preserve"> for each UEs, UE-based solution is simpler and </w:t>
      </w:r>
      <w:r w:rsidR="00776CDB">
        <w:rPr>
          <w:rFonts w:ascii="Times New Roman" w:eastAsia="宋体" w:hAnsi="Times New Roman"/>
          <w:bCs/>
          <w:lang w:val="en-US"/>
        </w:rPr>
        <w:t xml:space="preserve">it is a </w:t>
      </w:r>
      <w:r w:rsidR="00AC568E">
        <w:rPr>
          <w:rFonts w:ascii="Times New Roman" w:eastAsia="宋体" w:hAnsi="Times New Roman"/>
          <w:bCs/>
          <w:lang w:val="en-US"/>
        </w:rPr>
        <w:t>straightforward</w:t>
      </w:r>
      <w:r w:rsidR="00776CDB">
        <w:rPr>
          <w:rFonts w:ascii="Times New Roman" w:eastAsia="宋体" w:hAnsi="Times New Roman"/>
          <w:bCs/>
          <w:lang w:val="en-US"/>
        </w:rPr>
        <w:t xml:space="preserve"> solution</w:t>
      </w:r>
      <w:r w:rsidR="00AC568E">
        <w:rPr>
          <w:rFonts w:ascii="Times New Roman" w:eastAsia="宋体" w:hAnsi="Times New Roman"/>
          <w:bCs/>
          <w:lang w:val="en-US"/>
        </w:rPr>
        <w:t xml:space="preserve"> to store </w:t>
      </w:r>
      <w:r w:rsidR="00776CDB">
        <w:rPr>
          <w:rFonts w:ascii="Times New Roman" w:eastAsia="宋体" w:hAnsi="Times New Roman"/>
          <w:bCs/>
          <w:lang w:val="en-US"/>
        </w:rPr>
        <w:t xml:space="preserve">the gNB’s </w:t>
      </w:r>
      <w:r w:rsidR="00AC568E">
        <w:rPr>
          <w:rFonts w:ascii="Times New Roman" w:eastAsia="宋体" w:hAnsi="Times New Roman"/>
          <w:bCs/>
          <w:lang w:val="en-US"/>
        </w:rPr>
        <w:t xml:space="preserve">configuration and report it within the legacy QoE report </w:t>
      </w:r>
      <w:r w:rsidR="00776CDB">
        <w:rPr>
          <w:rFonts w:ascii="Times New Roman" w:eastAsia="宋体" w:hAnsi="Times New Roman"/>
          <w:bCs/>
          <w:lang w:val="en-US"/>
        </w:rPr>
        <w:t>as the same solution of</w:t>
      </w:r>
      <w:r w:rsidR="00AC568E">
        <w:rPr>
          <w:rFonts w:ascii="Times New Roman" w:eastAsia="宋体" w:hAnsi="Times New Roman"/>
          <w:bCs/>
          <w:lang w:val="en-US"/>
        </w:rPr>
        <w:t xml:space="preserve"> the logged MDT mechanism.</w:t>
      </w:r>
    </w:p>
    <w:p w14:paraId="0BE9175D" w14:textId="5EE2C9A8" w:rsidR="005B1B8A" w:rsidRDefault="008D0819" w:rsidP="005B1B8A">
      <w:pPr>
        <w:rPr>
          <w:rFonts w:ascii="Times New Roman" w:eastAsia="宋体" w:hAnsi="Times New Roman"/>
          <w:b/>
          <w:lang w:val="en-US"/>
        </w:rPr>
      </w:pPr>
      <w:r>
        <w:rPr>
          <w:rFonts w:ascii="Times New Roman" w:eastAsia="宋体" w:hAnsi="Times New Roman" w:hint="eastAsia"/>
          <w:b/>
          <w:bCs/>
          <w:lang w:val="en-US"/>
        </w:rPr>
        <w:lastRenderedPageBreak/>
        <w:t xml:space="preserve">Proposal </w:t>
      </w:r>
      <w:r w:rsidR="004A4EDF">
        <w:rPr>
          <w:rFonts w:ascii="Times New Roman" w:eastAsia="宋体" w:hAnsi="Times New Roman"/>
          <w:b/>
          <w:bCs/>
          <w:lang w:val="en-US"/>
        </w:rPr>
        <w:t>5</w:t>
      </w:r>
      <w:r>
        <w:rPr>
          <w:rFonts w:ascii="Times New Roman" w:eastAsia="宋体" w:hAnsi="Times New Roman" w:hint="eastAsia"/>
          <w:b/>
          <w:bCs/>
          <w:lang w:val="en-US"/>
        </w:rPr>
        <w:t>:</w:t>
      </w:r>
      <w:r>
        <w:rPr>
          <w:rFonts w:ascii="Times New Roman" w:eastAsia="宋体" w:hAnsi="Times New Roman"/>
          <w:b/>
          <w:bCs/>
          <w:lang w:val="en-US"/>
        </w:rPr>
        <w:t xml:space="preserve"> RAN3 </w:t>
      </w:r>
      <w:r>
        <w:rPr>
          <w:rFonts w:ascii="Times New Roman" w:eastAsia="宋体" w:hAnsi="Times New Roman"/>
          <w:b/>
          <w:lang w:val="en-US"/>
        </w:rPr>
        <w:t>agree</w:t>
      </w:r>
      <w:r w:rsidR="00DE46E5">
        <w:rPr>
          <w:rFonts w:ascii="Times New Roman" w:eastAsia="宋体" w:hAnsi="Times New Roman"/>
          <w:b/>
          <w:lang w:val="en-US"/>
        </w:rPr>
        <w:t xml:space="preserve">s UE-based solution to handle </w:t>
      </w:r>
      <w:r w:rsidR="00DE46E5" w:rsidRPr="00DE46E5">
        <w:rPr>
          <w:rFonts w:ascii="Times New Roman" w:eastAsia="宋体" w:hAnsi="Times New Roman"/>
          <w:b/>
          <w:lang w:val="en-US"/>
        </w:rPr>
        <w:t xml:space="preserve">the </w:t>
      </w:r>
      <w:r w:rsidR="00AC568E" w:rsidRPr="00AC568E">
        <w:rPr>
          <w:rFonts w:ascii="Times New Roman" w:eastAsia="宋体" w:hAnsi="Times New Roman"/>
          <w:b/>
          <w:lang w:val="en-US"/>
        </w:rPr>
        <w:t>MBS broadcast QoE measurements can proceed after the UE switches from RRC_IDLE to RRC_CONNECTED.</w:t>
      </w:r>
    </w:p>
    <w:p w14:paraId="0831FB1E" w14:textId="34B1C1E9" w:rsidR="00AC568E" w:rsidRDefault="00AC568E" w:rsidP="005B1B8A">
      <w:pPr>
        <w:rPr>
          <w:rFonts w:ascii="Times New Roman" w:eastAsia="等线" w:hAnsi="Times New Roman"/>
          <w:bCs/>
        </w:rPr>
      </w:pPr>
    </w:p>
    <w:p w14:paraId="054D8418" w14:textId="7800966A" w:rsidR="00E16E94" w:rsidRPr="00E16E94" w:rsidRDefault="00E16E94" w:rsidP="005B1B8A">
      <w:pPr>
        <w:pStyle w:val="2"/>
        <w:rPr>
          <w:rFonts w:ascii="Times New Roman" w:hAnsi="Times New Roman" w:cs="Times New Roman"/>
          <w:bCs/>
          <w:lang w:val="en-US"/>
        </w:rPr>
      </w:pPr>
      <w:r>
        <w:rPr>
          <w:rFonts w:ascii="Times New Roman" w:hAnsi="Times New Roman" w:cs="Times New Roman"/>
          <w:lang w:val="en-US"/>
        </w:rPr>
        <w:t>RVQoE configuration for</w:t>
      </w:r>
      <w:r>
        <w:rPr>
          <w:rFonts w:ascii="Times New Roman" w:eastAsia="等线" w:hAnsi="Times New Roman" w:cs="Times New Roman" w:hint="eastAsia"/>
          <w:bCs/>
          <w:lang w:val="en-US"/>
        </w:rPr>
        <w:t xml:space="preserve"> </w:t>
      </w:r>
      <w:r>
        <w:rPr>
          <w:rFonts w:ascii="Times New Roman" w:eastAsia="等线" w:hAnsi="Times New Roman" w:cs="Times New Roman"/>
          <w:bCs/>
          <w:lang w:val="en-US"/>
        </w:rPr>
        <w:t>MBS service</w:t>
      </w:r>
    </w:p>
    <w:p w14:paraId="5A60FC04" w14:textId="692F57A2" w:rsidR="003677FB" w:rsidRPr="003677FB" w:rsidRDefault="00514472" w:rsidP="003677FB">
      <w:pPr>
        <w:rPr>
          <w:rFonts w:ascii="Times New Roman" w:eastAsia="宋体" w:hAnsi="Times New Roman"/>
          <w:lang w:val="en-US"/>
        </w:rPr>
      </w:pPr>
      <w:r>
        <w:rPr>
          <w:rFonts w:ascii="Times New Roman" w:eastAsia="宋体" w:hAnsi="Times New Roman"/>
          <w:lang w:val="en-US"/>
        </w:rPr>
        <w:t>An</w:t>
      </w:r>
      <w:r w:rsidR="003677FB">
        <w:rPr>
          <w:rFonts w:ascii="Times New Roman" w:eastAsia="宋体" w:hAnsi="Times New Roman"/>
          <w:lang w:val="en-US"/>
        </w:rPr>
        <w:t xml:space="preserve"> agreements made in #121 meeting:</w:t>
      </w:r>
    </w:p>
    <w:p w14:paraId="6AD20C84" w14:textId="5E902179" w:rsidR="003677FB" w:rsidRPr="00517862" w:rsidRDefault="003677FB" w:rsidP="003677FB">
      <w:pPr>
        <w:rPr>
          <w:i/>
          <w:iCs/>
          <w:color w:val="00B050"/>
          <w:kern w:val="2"/>
          <w:sz w:val="16"/>
          <w:szCs w:val="16"/>
          <w:lang w:eastAsia="en-US"/>
        </w:rPr>
      </w:pPr>
      <w:r w:rsidRPr="003677FB">
        <w:rPr>
          <w:rFonts w:ascii="Calibri" w:hAnsi="Calibri" w:cs="Calibri"/>
          <w:b/>
          <w:color w:val="008000"/>
          <w:sz w:val="18"/>
        </w:rPr>
        <w:t>There is no need for UEs in RRC_INACTIVE and RRC_IDLE to perform RVQoE measurement collection.</w:t>
      </w:r>
    </w:p>
    <w:p w14:paraId="0F0CD968" w14:textId="699D134B" w:rsidR="00253017" w:rsidRDefault="003677FB" w:rsidP="00253017">
      <w:pPr>
        <w:rPr>
          <w:rFonts w:ascii="Times New Roman" w:eastAsia="宋体" w:hAnsi="Times New Roman"/>
          <w:bCs/>
          <w:lang w:val="en-US"/>
        </w:rPr>
      </w:pPr>
      <w:r>
        <w:rPr>
          <w:rFonts w:ascii="Times New Roman" w:eastAsia="宋体" w:hAnsi="Times New Roman"/>
          <w:bCs/>
          <w:lang w:val="en-US"/>
        </w:rPr>
        <w:t>For UEs</w:t>
      </w:r>
      <w:r w:rsidR="00D7625C">
        <w:rPr>
          <w:rFonts w:ascii="Times New Roman" w:eastAsia="宋体" w:hAnsi="Times New Roman"/>
          <w:bCs/>
          <w:lang w:val="en-US"/>
        </w:rPr>
        <w:t xml:space="preserve"> in </w:t>
      </w:r>
      <w:r w:rsidR="006655E7">
        <w:rPr>
          <w:rFonts w:ascii="Times New Roman" w:eastAsia="宋体" w:hAnsi="Times New Roman"/>
          <w:bCs/>
          <w:lang w:val="en-US"/>
        </w:rPr>
        <w:t>RRC_CONNECTED state</w:t>
      </w:r>
      <w:r>
        <w:rPr>
          <w:rFonts w:ascii="Times New Roman" w:eastAsia="宋体" w:hAnsi="Times New Roman"/>
          <w:bCs/>
          <w:lang w:val="en-US"/>
        </w:rPr>
        <w:t>, RAN visible QoE measurement collection</w:t>
      </w:r>
      <w:r w:rsidR="006655E7">
        <w:rPr>
          <w:rFonts w:ascii="Times New Roman" w:eastAsia="宋体" w:hAnsi="Times New Roman"/>
          <w:bCs/>
          <w:lang w:val="en-US"/>
        </w:rPr>
        <w:t xml:space="preserve"> </w:t>
      </w:r>
      <w:r w:rsidR="00D54209">
        <w:rPr>
          <w:rFonts w:ascii="Times New Roman" w:eastAsia="宋体" w:hAnsi="Times New Roman"/>
          <w:bCs/>
          <w:lang w:val="en-US"/>
        </w:rPr>
        <w:t xml:space="preserve">needs to </w:t>
      </w:r>
      <w:r w:rsidR="006655E7">
        <w:rPr>
          <w:rFonts w:ascii="Times New Roman" w:eastAsia="宋体" w:hAnsi="Times New Roman"/>
          <w:bCs/>
          <w:lang w:val="en-US"/>
        </w:rPr>
        <w:t xml:space="preserve">be supported. </w:t>
      </w:r>
      <w:r w:rsidR="00D316ED">
        <w:rPr>
          <w:rFonts w:ascii="Times New Roman" w:eastAsia="宋体" w:hAnsi="Times New Roman"/>
          <w:bCs/>
          <w:lang w:val="en-US"/>
        </w:rPr>
        <w:t xml:space="preserve">Regarding the RVQoE metric for MBS service, RAN3 </w:t>
      </w:r>
      <w:r w:rsidR="00D54209">
        <w:rPr>
          <w:rFonts w:ascii="Times New Roman" w:eastAsia="宋体" w:hAnsi="Times New Roman"/>
          <w:bCs/>
          <w:lang w:val="en-US"/>
        </w:rPr>
        <w:t xml:space="preserve">can </w:t>
      </w:r>
      <w:r>
        <w:rPr>
          <w:rFonts w:ascii="Times New Roman" w:eastAsia="宋体" w:hAnsi="Times New Roman"/>
          <w:bCs/>
          <w:lang w:val="en-US"/>
        </w:rPr>
        <w:t>reuse the existing</w:t>
      </w:r>
      <w:r w:rsidR="00D316ED">
        <w:rPr>
          <w:rFonts w:ascii="Times New Roman" w:eastAsia="宋体" w:hAnsi="Times New Roman"/>
          <w:bCs/>
          <w:lang w:val="en-US"/>
        </w:rPr>
        <w:t xml:space="preserve"> RVQoE metric</w:t>
      </w:r>
      <w:r>
        <w:rPr>
          <w:rFonts w:ascii="Times New Roman" w:eastAsia="宋体" w:hAnsi="Times New Roman"/>
          <w:bCs/>
          <w:lang w:val="en-US"/>
        </w:rPr>
        <w:t xml:space="preserve"> for each service type del</w:t>
      </w:r>
      <w:r w:rsidR="004B3B2D">
        <w:rPr>
          <w:rFonts w:ascii="Times New Roman" w:eastAsia="宋体" w:hAnsi="Times New Roman"/>
          <w:bCs/>
          <w:lang w:val="en-US"/>
        </w:rPr>
        <w:t>ivered by broadcast</w:t>
      </w:r>
      <w:r w:rsidR="00D316ED">
        <w:rPr>
          <w:rFonts w:ascii="Times New Roman" w:eastAsia="宋体" w:hAnsi="Times New Roman"/>
          <w:bCs/>
          <w:lang w:val="en-US"/>
        </w:rPr>
        <w:t>.</w:t>
      </w:r>
    </w:p>
    <w:p w14:paraId="3AA24B69" w14:textId="496B68A7" w:rsidR="006655E7" w:rsidRDefault="006655E7" w:rsidP="006655E7">
      <w:pPr>
        <w:rPr>
          <w:rFonts w:ascii="Times New Roman" w:eastAsia="宋体" w:hAnsi="Times New Roman"/>
          <w:b/>
          <w:bCs/>
          <w:lang w:val="en-US"/>
        </w:rPr>
      </w:pPr>
      <w:r w:rsidRPr="00284144">
        <w:rPr>
          <w:rFonts w:ascii="Times New Roman" w:eastAsia="宋体" w:hAnsi="Times New Roman" w:hint="eastAsia"/>
          <w:b/>
          <w:bCs/>
          <w:lang w:val="en-US"/>
        </w:rPr>
        <w:t xml:space="preserve">Proposal </w:t>
      </w:r>
      <w:r w:rsidR="004A4EDF">
        <w:rPr>
          <w:rFonts w:ascii="Times New Roman" w:eastAsia="宋体" w:hAnsi="Times New Roman"/>
          <w:b/>
          <w:bCs/>
          <w:lang w:val="en-US"/>
        </w:rPr>
        <w:t>6</w:t>
      </w:r>
      <w:r>
        <w:rPr>
          <w:rFonts w:ascii="Times New Roman" w:eastAsia="宋体" w:hAnsi="Times New Roman"/>
          <w:b/>
          <w:bCs/>
          <w:lang w:val="en-US"/>
        </w:rPr>
        <w:t>:</w:t>
      </w:r>
      <w:r w:rsidRPr="006655E7">
        <w:rPr>
          <w:rFonts w:ascii="Times New Roman" w:eastAsia="宋体" w:hAnsi="Times New Roman"/>
          <w:b/>
          <w:bCs/>
          <w:lang w:val="en-US"/>
        </w:rPr>
        <w:t xml:space="preserve"> RVQoE measurement </w:t>
      </w:r>
      <w:r>
        <w:rPr>
          <w:rFonts w:ascii="Times New Roman" w:eastAsia="宋体" w:hAnsi="Times New Roman"/>
          <w:b/>
          <w:bCs/>
          <w:lang w:val="en-US"/>
        </w:rPr>
        <w:t>is supported in</w:t>
      </w:r>
      <w:r w:rsidRPr="006655E7">
        <w:rPr>
          <w:rFonts w:ascii="Times New Roman" w:eastAsia="宋体" w:hAnsi="Times New Roman"/>
          <w:b/>
          <w:bCs/>
          <w:lang w:val="en-US"/>
        </w:rPr>
        <w:t xml:space="preserve"> RRC_CONNECTED state</w:t>
      </w:r>
      <w:r w:rsidR="00941CE9">
        <w:rPr>
          <w:rFonts w:ascii="Times New Roman" w:eastAsia="宋体" w:hAnsi="Times New Roman"/>
          <w:b/>
          <w:bCs/>
          <w:lang w:val="en-US"/>
        </w:rPr>
        <w:t>.</w:t>
      </w:r>
    </w:p>
    <w:p w14:paraId="2CD7E610" w14:textId="566DC157" w:rsidR="00894836" w:rsidRPr="0088034F" w:rsidRDefault="00D316ED" w:rsidP="006655E7">
      <w:pPr>
        <w:rPr>
          <w:rFonts w:ascii="Times New Roman" w:eastAsia="宋体" w:hAnsi="Times New Roman"/>
          <w:b/>
          <w:bCs/>
          <w:lang w:val="en-US"/>
        </w:rPr>
      </w:pPr>
      <w:r w:rsidRPr="00284144">
        <w:rPr>
          <w:rFonts w:ascii="Times New Roman" w:eastAsia="宋体" w:hAnsi="Times New Roman" w:hint="eastAsia"/>
          <w:b/>
          <w:bCs/>
          <w:lang w:val="en-US"/>
        </w:rPr>
        <w:t xml:space="preserve">Proposal </w:t>
      </w:r>
      <w:r w:rsidR="004A4EDF">
        <w:rPr>
          <w:rFonts w:ascii="Times New Roman" w:eastAsia="宋体" w:hAnsi="Times New Roman"/>
          <w:b/>
          <w:bCs/>
          <w:lang w:val="en-US"/>
        </w:rPr>
        <w:t>7</w:t>
      </w:r>
      <w:r>
        <w:rPr>
          <w:rFonts w:ascii="Times New Roman" w:eastAsia="宋体" w:hAnsi="Times New Roman"/>
          <w:b/>
          <w:bCs/>
          <w:lang w:val="en-US"/>
        </w:rPr>
        <w:t>:</w:t>
      </w:r>
      <w:r w:rsidRPr="006655E7">
        <w:rPr>
          <w:rFonts w:ascii="Times New Roman" w:eastAsia="宋体" w:hAnsi="Times New Roman"/>
          <w:b/>
          <w:bCs/>
          <w:lang w:val="en-US"/>
        </w:rPr>
        <w:t xml:space="preserve"> </w:t>
      </w:r>
      <w:r w:rsidR="00B11245" w:rsidRPr="00B11245">
        <w:rPr>
          <w:rFonts w:ascii="Times New Roman" w:eastAsia="宋体" w:hAnsi="Times New Roman"/>
          <w:b/>
          <w:bCs/>
          <w:lang w:val="en-US"/>
        </w:rPr>
        <w:t>RAN3</w:t>
      </w:r>
      <w:r w:rsidR="00B11245">
        <w:rPr>
          <w:rFonts w:ascii="Times New Roman" w:eastAsia="宋体" w:hAnsi="Times New Roman"/>
          <w:b/>
          <w:bCs/>
          <w:lang w:val="en-US"/>
        </w:rPr>
        <w:t xml:space="preserve"> </w:t>
      </w:r>
      <w:r w:rsidR="00052983">
        <w:rPr>
          <w:rFonts w:ascii="Times New Roman" w:eastAsia="宋体" w:hAnsi="Times New Roman"/>
          <w:b/>
          <w:bCs/>
          <w:lang w:val="en-US"/>
        </w:rPr>
        <w:t xml:space="preserve">decide to </w:t>
      </w:r>
      <w:r w:rsidR="00B11245">
        <w:rPr>
          <w:rFonts w:ascii="Times New Roman" w:eastAsia="宋体" w:hAnsi="Times New Roman"/>
          <w:b/>
          <w:bCs/>
          <w:lang w:val="en-US"/>
        </w:rPr>
        <w:t>reuse the existing</w:t>
      </w:r>
      <w:r>
        <w:rPr>
          <w:rFonts w:ascii="Times New Roman" w:eastAsia="宋体" w:hAnsi="Times New Roman"/>
          <w:b/>
          <w:bCs/>
          <w:lang w:val="en-US"/>
        </w:rPr>
        <w:t xml:space="preserve"> RVQoE metric for </w:t>
      </w:r>
      <w:r w:rsidR="00B11245">
        <w:rPr>
          <w:rFonts w:ascii="Times New Roman" w:eastAsia="宋体" w:hAnsi="Times New Roman"/>
          <w:b/>
          <w:bCs/>
          <w:lang w:val="en-US"/>
        </w:rPr>
        <w:t>each service type</w:t>
      </w:r>
      <w:r w:rsidR="007A6882">
        <w:rPr>
          <w:rFonts w:ascii="Times New Roman" w:eastAsia="宋体" w:hAnsi="Times New Roman"/>
          <w:b/>
          <w:bCs/>
          <w:lang w:val="en-US"/>
        </w:rPr>
        <w:t xml:space="preserve"> delivered by MBS</w:t>
      </w:r>
      <w:r w:rsidR="00B11245">
        <w:rPr>
          <w:rFonts w:ascii="Times New Roman" w:eastAsia="宋体" w:hAnsi="Times New Roman"/>
          <w:b/>
          <w:bCs/>
          <w:lang w:val="en-US"/>
        </w:rPr>
        <w:t>.</w:t>
      </w:r>
    </w:p>
    <w:p w14:paraId="34D3B78D" w14:textId="77777777" w:rsidR="00894836" w:rsidRPr="00D316ED" w:rsidRDefault="00894836" w:rsidP="006655E7">
      <w:pPr>
        <w:rPr>
          <w:rFonts w:ascii="Times New Roman" w:eastAsia="宋体" w:hAnsi="Times New Roman"/>
          <w:bCs/>
          <w:lang w:val="en-US"/>
        </w:rPr>
      </w:pPr>
    </w:p>
    <w:p w14:paraId="74A54CAF" w14:textId="2AE1B912" w:rsidR="00941CE9" w:rsidRPr="00941CE9" w:rsidRDefault="00941CE9" w:rsidP="00941CE9">
      <w:pPr>
        <w:rPr>
          <w:rFonts w:ascii="Times New Roman" w:eastAsia="宋体" w:hAnsi="Times New Roman"/>
          <w:bCs/>
          <w:lang w:val="en-US"/>
        </w:rPr>
      </w:pPr>
      <w:r>
        <w:rPr>
          <w:rFonts w:ascii="Times New Roman" w:eastAsia="宋体" w:hAnsi="Times New Roman"/>
          <w:bCs/>
          <w:lang w:val="en-US"/>
        </w:rPr>
        <w:t>F</w:t>
      </w:r>
      <w:r w:rsidRPr="00941CE9">
        <w:rPr>
          <w:rFonts w:ascii="Times New Roman" w:eastAsia="宋体" w:hAnsi="Times New Roman"/>
          <w:bCs/>
          <w:lang w:val="en-US"/>
        </w:rPr>
        <w:t xml:space="preserve">or UEs coming back to RRC_CONNECTED from RRC_IDLE state, the new gNB can configure its own RVQoE measurement </w:t>
      </w:r>
      <w:r>
        <w:rPr>
          <w:rFonts w:ascii="Times New Roman" w:eastAsia="宋体" w:hAnsi="Times New Roman"/>
          <w:bCs/>
          <w:lang w:val="en-US"/>
        </w:rPr>
        <w:t>based on the</w:t>
      </w:r>
      <w:r w:rsidRPr="00941CE9">
        <w:rPr>
          <w:rFonts w:ascii="Times New Roman" w:eastAsia="宋体" w:hAnsi="Times New Roman"/>
          <w:bCs/>
          <w:lang w:val="en-US"/>
        </w:rPr>
        <w:t xml:space="preserve"> available RVQoE metrics for </w:t>
      </w:r>
      <w:r w:rsidR="00D54209">
        <w:rPr>
          <w:rFonts w:ascii="Times New Roman" w:eastAsia="宋体" w:hAnsi="Times New Roman" w:hint="eastAsia"/>
          <w:bCs/>
          <w:lang w:val="en-US"/>
        </w:rPr>
        <w:t>the</w:t>
      </w:r>
      <w:r w:rsidR="00D54209">
        <w:rPr>
          <w:rFonts w:ascii="Times New Roman" w:eastAsia="宋体" w:hAnsi="Times New Roman"/>
          <w:bCs/>
          <w:lang w:val="en-US"/>
        </w:rPr>
        <w:t xml:space="preserve"> </w:t>
      </w:r>
      <w:r w:rsidRPr="00941CE9">
        <w:rPr>
          <w:rFonts w:ascii="Times New Roman" w:eastAsia="宋体" w:hAnsi="Times New Roman"/>
          <w:bCs/>
          <w:lang w:val="en-US"/>
        </w:rPr>
        <w:t>ongoing QoE measurement configured by old gNBs.</w:t>
      </w:r>
      <w:r w:rsidR="00D316ED">
        <w:rPr>
          <w:rFonts w:ascii="Times New Roman" w:eastAsia="宋体" w:hAnsi="Times New Roman"/>
          <w:bCs/>
          <w:lang w:val="en-US"/>
        </w:rPr>
        <w:t xml:space="preserve"> Then the new gNB can configure the RVQoE directly </w:t>
      </w:r>
      <w:r w:rsidR="00D54209">
        <w:rPr>
          <w:rFonts w:ascii="Times New Roman" w:eastAsia="宋体" w:hAnsi="Times New Roman"/>
          <w:bCs/>
          <w:lang w:val="en-US"/>
        </w:rPr>
        <w:t xml:space="preserve">and it is no need to </w:t>
      </w:r>
      <w:r w:rsidR="00D316ED">
        <w:rPr>
          <w:rFonts w:ascii="Times New Roman" w:eastAsia="宋体" w:hAnsi="Times New Roman"/>
          <w:bCs/>
          <w:lang w:val="en-US"/>
        </w:rPr>
        <w:t>wait for</w:t>
      </w:r>
      <w:r w:rsidR="00D54209">
        <w:rPr>
          <w:rFonts w:ascii="Times New Roman" w:eastAsia="宋体" w:hAnsi="Times New Roman"/>
          <w:bCs/>
          <w:lang w:val="en-US"/>
        </w:rPr>
        <w:t xml:space="preserve"> the</w:t>
      </w:r>
      <w:r w:rsidR="00D316ED">
        <w:rPr>
          <w:rFonts w:ascii="Times New Roman" w:eastAsia="宋体" w:hAnsi="Times New Roman"/>
          <w:bCs/>
          <w:lang w:val="en-US"/>
        </w:rPr>
        <w:t xml:space="preserve"> new QoE measurement sent from OAM.</w:t>
      </w:r>
    </w:p>
    <w:p w14:paraId="047BD854" w14:textId="1E52B9F2" w:rsidR="00941CE9" w:rsidRPr="00A87A4A" w:rsidRDefault="00941CE9" w:rsidP="00941CE9">
      <w:pPr>
        <w:rPr>
          <w:rFonts w:ascii="Times New Roman" w:eastAsia="宋体" w:hAnsi="Times New Roman"/>
          <w:b/>
          <w:bCs/>
          <w:lang w:val="en-US"/>
        </w:rPr>
      </w:pPr>
      <w:r w:rsidRPr="00284144">
        <w:rPr>
          <w:rFonts w:ascii="Times New Roman" w:eastAsia="宋体" w:hAnsi="Times New Roman" w:hint="eastAsia"/>
          <w:b/>
          <w:bCs/>
          <w:lang w:val="en-US"/>
        </w:rPr>
        <w:t xml:space="preserve">Proposal </w:t>
      </w:r>
      <w:r w:rsidR="004A4EDF">
        <w:rPr>
          <w:rFonts w:ascii="Times New Roman" w:eastAsia="宋体" w:hAnsi="Times New Roman"/>
          <w:b/>
          <w:bCs/>
          <w:lang w:val="en-US"/>
        </w:rPr>
        <w:t>8</w:t>
      </w:r>
      <w:r w:rsidRPr="00A87A4A">
        <w:rPr>
          <w:rFonts w:ascii="Times New Roman" w:eastAsia="宋体" w:hAnsi="Times New Roman" w:hint="eastAsia"/>
          <w:b/>
          <w:bCs/>
          <w:lang w:val="en-US"/>
        </w:rPr>
        <w:t>:</w:t>
      </w:r>
      <w:r w:rsidRPr="00A87A4A">
        <w:rPr>
          <w:rFonts w:ascii="Times New Roman" w:eastAsia="宋体" w:hAnsi="Times New Roman"/>
          <w:b/>
          <w:bCs/>
          <w:lang w:val="en-US"/>
        </w:rPr>
        <w:t xml:space="preserve"> </w:t>
      </w:r>
      <w:r w:rsidR="0088034F">
        <w:rPr>
          <w:rFonts w:ascii="Times New Roman" w:eastAsia="宋体" w:hAnsi="Times New Roman"/>
          <w:b/>
          <w:bCs/>
          <w:lang w:val="en-US"/>
        </w:rPr>
        <w:t>T</w:t>
      </w:r>
      <w:r w:rsidR="00894836">
        <w:rPr>
          <w:rFonts w:ascii="Times New Roman" w:eastAsia="宋体" w:hAnsi="Times New Roman" w:hint="eastAsia"/>
          <w:b/>
          <w:bCs/>
          <w:lang w:val="en-US"/>
        </w:rPr>
        <w:t>urn</w:t>
      </w:r>
      <w:r w:rsidR="00894836">
        <w:rPr>
          <w:rFonts w:ascii="Times New Roman" w:eastAsia="宋体" w:hAnsi="Times New Roman"/>
          <w:b/>
          <w:bCs/>
          <w:lang w:val="en-US"/>
        </w:rPr>
        <w:t xml:space="preserve"> WA </w:t>
      </w:r>
      <w:r w:rsidR="00894836">
        <w:rPr>
          <w:rFonts w:ascii="Times New Roman" w:eastAsia="宋体" w:hAnsi="Times New Roman" w:hint="eastAsia"/>
          <w:b/>
          <w:bCs/>
          <w:lang w:val="en-US"/>
        </w:rPr>
        <w:t>into</w:t>
      </w:r>
      <w:r w:rsidR="00894836">
        <w:rPr>
          <w:rFonts w:ascii="Times New Roman" w:eastAsia="宋体" w:hAnsi="Times New Roman"/>
          <w:b/>
          <w:bCs/>
          <w:lang w:val="en-US"/>
        </w:rPr>
        <w:t xml:space="preserve"> </w:t>
      </w:r>
      <w:r w:rsidR="00894836">
        <w:rPr>
          <w:rFonts w:ascii="Times New Roman" w:eastAsia="宋体" w:hAnsi="Times New Roman" w:hint="eastAsia"/>
          <w:b/>
          <w:bCs/>
          <w:lang w:val="en-US"/>
        </w:rPr>
        <w:t>agreement</w:t>
      </w:r>
      <w:r w:rsidR="00894836">
        <w:rPr>
          <w:rFonts w:ascii="Times New Roman" w:eastAsia="宋体" w:hAnsi="Times New Roman"/>
          <w:b/>
          <w:bCs/>
          <w:lang w:val="en-US"/>
        </w:rPr>
        <w:t xml:space="preserve"> </w:t>
      </w:r>
      <w:r w:rsidR="00894836">
        <w:rPr>
          <w:rFonts w:ascii="Times New Roman" w:eastAsia="宋体" w:hAnsi="Times New Roman" w:hint="eastAsia"/>
          <w:b/>
          <w:bCs/>
          <w:lang w:val="en-US"/>
        </w:rPr>
        <w:t>that</w:t>
      </w:r>
      <w:r w:rsidR="00894836">
        <w:rPr>
          <w:rFonts w:ascii="Times New Roman" w:eastAsia="宋体" w:hAnsi="Times New Roman"/>
          <w:b/>
          <w:bCs/>
          <w:lang w:val="en-US"/>
        </w:rPr>
        <w:t xml:space="preserve"> available RVQoE metrics </w:t>
      </w:r>
      <w:r w:rsidRPr="00A87A4A">
        <w:rPr>
          <w:rFonts w:ascii="Times New Roman" w:eastAsia="宋体" w:hAnsi="Times New Roman"/>
          <w:b/>
          <w:bCs/>
          <w:lang w:val="en-US"/>
        </w:rPr>
        <w:t>need to be provided at new gNB</w:t>
      </w:r>
      <w:r>
        <w:rPr>
          <w:rFonts w:ascii="Times New Roman" w:eastAsia="宋体" w:hAnsi="Times New Roman"/>
          <w:b/>
          <w:bCs/>
          <w:lang w:val="en-US"/>
        </w:rPr>
        <w:t xml:space="preserve"> for MBS BC QoE.</w:t>
      </w:r>
    </w:p>
    <w:p w14:paraId="22441BFE" w14:textId="0A906731" w:rsidR="007B51BA" w:rsidRDefault="007B51BA" w:rsidP="007B51BA">
      <w:pPr>
        <w:rPr>
          <w:rFonts w:ascii="Times New Roman" w:eastAsia="等线" w:hAnsi="Times New Roman"/>
          <w:lang w:val="en-US"/>
        </w:rPr>
      </w:pPr>
    </w:p>
    <w:p w14:paraId="60D36F9B" w14:textId="35D40F34" w:rsidR="00A26526" w:rsidRPr="00514472" w:rsidRDefault="00514472" w:rsidP="007B51BA">
      <w:pPr>
        <w:pStyle w:val="2"/>
        <w:rPr>
          <w:rFonts w:ascii="Times New Roman" w:hAnsi="Times New Roman" w:cs="Times New Roman"/>
          <w:bCs/>
          <w:lang w:val="en-US"/>
        </w:rPr>
      </w:pPr>
      <w:r>
        <w:rPr>
          <w:rFonts w:ascii="Times New Roman" w:hAnsi="Times New Roman" w:cs="Times New Roman"/>
          <w:lang w:val="en-US"/>
        </w:rPr>
        <w:t xml:space="preserve">Priority information </w:t>
      </w:r>
    </w:p>
    <w:p w14:paraId="3F5CD4D2" w14:textId="0247D081" w:rsidR="006746A8" w:rsidRPr="006746A8" w:rsidRDefault="00514472" w:rsidP="006746A8">
      <w:pPr>
        <w:rPr>
          <w:rFonts w:ascii="Times New Roman" w:eastAsia="等线" w:hAnsi="Times New Roman"/>
          <w:lang w:val="en-US"/>
        </w:rPr>
      </w:pPr>
      <w:r>
        <w:rPr>
          <w:rFonts w:ascii="Times New Roman" w:eastAsia="等线" w:hAnsi="Times New Roman"/>
          <w:lang w:val="en-US"/>
        </w:rPr>
        <w:t>We have a FFS in previous meeting:</w:t>
      </w:r>
    </w:p>
    <w:p w14:paraId="675D511B" w14:textId="77777777" w:rsidR="006746A8" w:rsidRPr="00514472" w:rsidRDefault="006746A8" w:rsidP="006746A8">
      <w:pPr>
        <w:rPr>
          <w:rFonts w:ascii="Calibri" w:hAnsi="Calibri" w:cs="Calibri"/>
          <w:b/>
          <w:bCs/>
          <w:color w:val="0000FF"/>
          <w:sz w:val="18"/>
          <w:szCs w:val="18"/>
          <w:lang w:eastAsia="en-US"/>
        </w:rPr>
      </w:pPr>
      <w:r w:rsidRPr="00514472">
        <w:rPr>
          <w:rFonts w:ascii="Calibri" w:hAnsi="Calibri" w:cs="Calibri"/>
          <w:b/>
          <w:bCs/>
          <w:color w:val="0000FF"/>
          <w:sz w:val="18"/>
          <w:szCs w:val="18"/>
          <w:lang w:eastAsia="en-US"/>
        </w:rPr>
        <w:t>FFS whether to support some selection policies to better report/discard reports in case of limited storage space</w:t>
      </w:r>
    </w:p>
    <w:p w14:paraId="631E8F78" w14:textId="0AC7B73E" w:rsidR="00514472" w:rsidRDefault="00514472" w:rsidP="006746A8">
      <w:pPr>
        <w:rPr>
          <w:rFonts w:ascii="Times New Roman" w:eastAsia="等线" w:hAnsi="Times New Roman"/>
          <w:lang w:val="en-US"/>
        </w:rPr>
      </w:pPr>
      <w:r>
        <w:rPr>
          <w:rFonts w:ascii="Times New Roman" w:eastAsia="等线" w:hAnsi="Times New Roman"/>
          <w:lang w:val="en-US"/>
        </w:rPr>
        <w:t xml:space="preserve">And there is a reply LS on </w:t>
      </w:r>
      <w:r w:rsidRPr="00514472">
        <w:rPr>
          <w:rFonts w:ascii="Times New Roman" w:eastAsia="等线" w:hAnsi="Times New Roman"/>
          <w:lang w:val="en-US"/>
        </w:rPr>
        <w:t>the feasibility of introducing assistance information for handling of QoE reporting during RAN overload</w:t>
      </w:r>
      <w:r>
        <w:rPr>
          <w:rFonts w:ascii="Times New Roman" w:eastAsia="等线" w:hAnsi="Times New Roman"/>
          <w:lang w:val="en-US"/>
        </w:rPr>
        <w:t>.</w:t>
      </w:r>
    </w:p>
    <w:p w14:paraId="2ACD787A" w14:textId="37B45FF2" w:rsidR="00514472" w:rsidRDefault="00514472" w:rsidP="006746A8">
      <w:pPr>
        <w:rPr>
          <w:rFonts w:ascii="Times New Roman" w:eastAsia="等线" w:hAnsi="Times New Roman"/>
          <w:lang w:val="en-US"/>
        </w:rPr>
      </w:pPr>
    </w:p>
    <w:tbl>
      <w:tblPr>
        <w:tblStyle w:val="af3"/>
        <w:tblW w:w="0" w:type="auto"/>
        <w:tblLook w:val="04A0" w:firstRow="1" w:lastRow="0" w:firstColumn="1" w:lastColumn="0" w:noHBand="0" w:noVBand="1"/>
      </w:tblPr>
      <w:tblGrid>
        <w:gridCol w:w="9629"/>
      </w:tblGrid>
      <w:tr w:rsidR="00514472" w14:paraId="21A012F5" w14:textId="77777777" w:rsidTr="00514472">
        <w:tc>
          <w:tcPr>
            <w:tcW w:w="9629" w:type="dxa"/>
          </w:tcPr>
          <w:p w14:paraId="4B5C3910" w14:textId="77777777" w:rsidR="00514472" w:rsidRPr="00D066B8" w:rsidRDefault="00514472" w:rsidP="00514472">
            <w:pPr>
              <w:rPr>
                <w:sz w:val="18"/>
                <w:lang w:val="en-US"/>
              </w:rPr>
            </w:pPr>
            <w:r w:rsidRPr="00D066B8">
              <w:rPr>
                <w:sz w:val="18"/>
                <w:lang w:val="en-US"/>
              </w:rPr>
              <w:t>SA5 has the following responses to RAN2's questions:</w:t>
            </w:r>
          </w:p>
          <w:p w14:paraId="2C0600CB" w14:textId="77777777" w:rsidR="00514472" w:rsidRPr="00D066B8" w:rsidRDefault="00514472" w:rsidP="00514472">
            <w:pPr>
              <w:rPr>
                <w:rFonts w:cs="Arial"/>
                <w:b/>
                <w:bCs/>
                <w:sz w:val="18"/>
                <w:lang w:val="en-US"/>
              </w:rPr>
            </w:pPr>
            <w:r w:rsidRPr="00D066B8">
              <w:rPr>
                <w:rFonts w:cs="Arial"/>
                <w:b/>
                <w:bCs/>
                <w:sz w:val="18"/>
                <w:lang w:val="en-US"/>
              </w:rPr>
              <w:t>Q1: Can there be multiple types of consumers for receiving the QoE reports (pursuing the role of the MCE)? If yes, what are those potential consumers as supported by the current specifications?</w:t>
            </w:r>
          </w:p>
          <w:p w14:paraId="7D592763" w14:textId="77777777" w:rsidR="00514472" w:rsidRPr="00D066B8" w:rsidRDefault="00514472" w:rsidP="00514472">
            <w:pPr>
              <w:rPr>
                <w:rFonts w:cs="Arial"/>
                <w:bCs/>
                <w:sz w:val="18"/>
                <w:lang w:val="en-US"/>
              </w:rPr>
            </w:pPr>
            <w:r w:rsidRPr="00D066B8">
              <w:rPr>
                <w:rFonts w:cs="Arial" w:hint="eastAsia"/>
                <w:b/>
                <w:bCs/>
                <w:sz w:val="18"/>
                <w:lang w:val="en-US"/>
              </w:rPr>
              <w:t>A</w:t>
            </w:r>
            <w:r w:rsidRPr="00D066B8">
              <w:rPr>
                <w:rFonts w:cs="Arial"/>
                <w:b/>
                <w:bCs/>
                <w:sz w:val="18"/>
                <w:lang w:val="en-US"/>
              </w:rPr>
              <w:t xml:space="preserve">: </w:t>
            </w:r>
            <w:r w:rsidRPr="00D066B8">
              <w:rPr>
                <w:rFonts w:cs="Arial"/>
                <w:bCs/>
                <w:sz w:val="18"/>
                <w:lang w:val="en-US"/>
              </w:rPr>
              <w:t xml:space="preserve">No, SA5 does not specify the different types of consumers so far. Existing activation and deactivation procedures could be applied to any consumer. </w:t>
            </w:r>
          </w:p>
          <w:p w14:paraId="6048F148" w14:textId="77777777" w:rsidR="00514472" w:rsidRPr="00D066B8" w:rsidRDefault="00514472" w:rsidP="00514472">
            <w:pPr>
              <w:rPr>
                <w:rFonts w:cs="Arial"/>
                <w:b/>
                <w:bCs/>
                <w:sz w:val="18"/>
                <w:lang w:val="en-US"/>
              </w:rPr>
            </w:pPr>
            <w:r w:rsidRPr="00D066B8">
              <w:rPr>
                <w:rFonts w:cs="Arial"/>
                <w:b/>
                <w:bCs/>
                <w:sz w:val="18"/>
                <w:lang w:val="en-US"/>
              </w:rPr>
              <w:t>Q2: If the answer to the first part of  Q1 is “yes”, and if different consumers can have different priorities in receiving the QoE reports, is the OAM able to compare and rank by priority the preferences of different consumers or rank the consumers themselves? Can the OAM make the final decision regarding setting the reporting priorities? Can the OAM coordinate with the consumers and inform the consumers if the intended priority is not met?</w:t>
            </w:r>
          </w:p>
          <w:p w14:paraId="695D3BC8" w14:textId="77777777" w:rsidR="00514472" w:rsidRPr="00D066B8" w:rsidRDefault="00514472" w:rsidP="00514472">
            <w:pPr>
              <w:rPr>
                <w:rFonts w:cs="Arial"/>
                <w:bCs/>
                <w:sz w:val="18"/>
                <w:lang w:val="en-US"/>
              </w:rPr>
            </w:pPr>
            <w:r w:rsidRPr="00D066B8">
              <w:rPr>
                <w:rFonts w:cs="Arial" w:hint="eastAsia"/>
                <w:b/>
                <w:bCs/>
                <w:sz w:val="18"/>
                <w:lang w:val="en-US"/>
              </w:rPr>
              <w:t>A</w:t>
            </w:r>
            <w:r w:rsidRPr="00D066B8">
              <w:rPr>
                <w:rFonts w:cs="Arial"/>
                <w:b/>
                <w:bCs/>
                <w:sz w:val="18"/>
                <w:lang w:val="en-US"/>
              </w:rPr>
              <w:t>:</w:t>
            </w:r>
            <w:r w:rsidRPr="00D066B8">
              <w:rPr>
                <w:rFonts w:cs="Arial"/>
                <w:bCs/>
                <w:sz w:val="18"/>
                <w:lang w:val="en-US"/>
              </w:rPr>
              <w:t xml:space="preserve"> see Q1. From SA5 point of view, even though there are no different types of consumers specified by SA5, </w:t>
            </w:r>
            <w:r w:rsidRPr="00D066B8">
              <w:rPr>
                <w:rFonts w:cs="Arial" w:hint="eastAsia"/>
                <w:sz w:val="18"/>
                <w:lang w:val="en-US"/>
              </w:rPr>
              <w:t xml:space="preserve">it is </w:t>
            </w:r>
            <w:r w:rsidRPr="00D066B8">
              <w:rPr>
                <w:rFonts w:cs="Arial"/>
                <w:sz w:val="18"/>
                <w:lang w:val="en-US"/>
              </w:rPr>
              <w:t>useful</w:t>
            </w:r>
            <w:r w:rsidRPr="00D066B8">
              <w:rPr>
                <w:rFonts w:cs="Arial" w:hint="eastAsia"/>
                <w:sz w:val="18"/>
                <w:lang w:val="en-US"/>
              </w:rPr>
              <w:t xml:space="preserve"> to </w:t>
            </w:r>
            <w:r w:rsidRPr="00D066B8">
              <w:rPr>
                <w:rFonts w:cs="Arial"/>
                <w:sz w:val="18"/>
                <w:lang w:val="en-US"/>
              </w:rPr>
              <w:t>introduce a priority per QoE configuration as assistance information to the NG-RAN node</w:t>
            </w:r>
            <w:r w:rsidRPr="00D066B8">
              <w:rPr>
                <w:rFonts w:cs="Arial"/>
                <w:bCs/>
                <w:sz w:val="18"/>
                <w:lang w:val="en-US"/>
              </w:rPr>
              <w:t>.</w:t>
            </w:r>
          </w:p>
          <w:p w14:paraId="38CB65B0" w14:textId="77777777" w:rsidR="00514472" w:rsidRPr="00D066B8" w:rsidRDefault="00514472" w:rsidP="00514472">
            <w:pPr>
              <w:rPr>
                <w:rFonts w:cs="Arial"/>
                <w:b/>
                <w:bCs/>
                <w:sz w:val="18"/>
                <w:lang w:val="en-US"/>
              </w:rPr>
            </w:pPr>
            <w:r w:rsidRPr="00D066B8">
              <w:rPr>
                <w:rFonts w:cs="Arial"/>
                <w:b/>
                <w:bCs/>
                <w:sz w:val="18"/>
                <w:lang w:val="en-US"/>
              </w:rPr>
              <w:t>Q3: Is there any other issue(s) related to sending such an explicit priority per QoE configuration as assistance information to the NG-RAN node?</w:t>
            </w:r>
          </w:p>
          <w:p w14:paraId="6E08D857" w14:textId="77777777" w:rsidR="00514472" w:rsidRPr="00D066B8" w:rsidRDefault="00514472" w:rsidP="00514472">
            <w:pPr>
              <w:rPr>
                <w:rFonts w:cs="Arial"/>
                <w:bCs/>
                <w:sz w:val="18"/>
                <w:lang w:val="en-US"/>
              </w:rPr>
            </w:pPr>
            <w:r w:rsidRPr="00D066B8">
              <w:rPr>
                <w:rFonts w:cs="Arial" w:hint="eastAsia"/>
                <w:bCs/>
                <w:sz w:val="18"/>
                <w:lang w:val="en-US"/>
              </w:rPr>
              <w:t>A</w:t>
            </w:r>
            <w:r w:rsidRPr="00D066B8">
              <w:rPr>
                <w:rFonts w:cs="Arial"/>
                <w:bCs/>
                <w:sz w:val="18"/>
                <w:lang w:val="en-US"/>
              </w:rPr>
              <w:t xml:space="preserve">: </w:t>
            </w:r>
            <w:r w:rsidRPr="00D066B8">
              <w:rPr>
                <w:rFonts w:cs="Arial" w:hint="eastAsia"/>
                <w:sz w:val="18"/>
                <w:lang w:val="en-US"/>
              </w:rPr>
              <w:t xml:space="preserve">The mechanisms of QMC defined in TS 28.405 does not support </w:t>
            </w:r>
            <w:r w:rsidRPr="00D066B8">
              <w:rPr>
                <w:rFonts w:cs="Arial"/>
                <w:sz w:val="18"/>
                <w:lang w:val="en-US"/>
              </w:rPr>
              <w:t>such priority per QoE configuration currently</w:t>
            </w:r>
            <w:r w:rsidRPr="00D066B8">
              <w:rPr>
                <w:rFonts w:cs="Arial" w:hint="eastAsia"/>
                <w:sz w:val="18"/>
                <w:lang w:val="en-US"/>
              </w:rPr>
              <w:t xml:space="preserve">. SA5 think it is possible to </w:t>
            </w:r>
            <w:r w:rsidRPr="00D066B8">
              <w:rPr>
                <w:rFonts w:cs="Arial"/>
                <w:sz w:val="18"/>
                <w:lang w:val="en-US"/>
              </w:rPr>
              <w:t>introduce a priority per QoE configuration</w:t>
            </w:r>
            <w:r w:rsidRPr="00D066B8">
              <w:rPr>
                <w:rFonts w:cs="Arial" w:hint="eastAsia"/>
                <w:sz w:val="18"/>
                <w:lang w:val="en-US"/>
              </w:rPr>
              <w:t xml:space="preserve"> for one certain service type</w:t>
            </w:r>
            <w:r w:rsidRPr="00D066B8">
              <w:rPr>
                <w:rFonts w:cs="Arial"/>
                <w:sz w:val="18"/>
                <w:lang w:val="en-US"/>
              </w:rPr>
              <w:t xml:space="preserve"> or QoE reference in case of the QoE reporting to an NG-RAN node that is in overload.</w:t>
            </w:r>
          </w:p>
          <w:p w14:paraId="11A9293F" w14:textId="77777777" w:rsidR="00514472" w:rsidRPr="00514472" w:rsidRDefault="00514472" w:rsidP="006746A8">
            <w:pPr>
              <w:rPr>
                <w:rFonts w:ascii="Times New Roman" w:eastAsia="等线" w:hAnsi="Times New Roman"/>
                <w:lang w:val="en-US"/>
              </w:rPr>
            </w:pPr>
          </w:p>
        </w:tc>
      </w:tr>
    </w:tbl>
    <w:p w14:paraId="1DD194D8" w14:textId="77777777" w:rsidR="00514472" w:rsidRDefault="00514472" w:rsidP="006746A8">
      <w:pPr>
        <w:rPr>
          <w:rFonts w:ascii="Times New Roman" w:eastAsia="等线" w:hAnsi="Times New Roman"/>
          <w:lang w:val="en-US"/>
        </w:rPr>
      </w:pPr>
    </w:p>
    <w:p w14:paraId="674E293B" w14:textId="2D30A3F7" w:rsidR="00514472" w:rsidRDefault="00514472" w:rsidP="006746A8">
      <w:pPr>
        <w:rPr>
          <w:rFonts w:ascii="Times New Roman" w:eastAsia="等线" w:hAnsi="Times New Roman"/>
          <w:lang w:val="en-US"/>
        </w:rPr>
      </w:pPr>
      <w:r>
        <w:rPr>
          <w:rFonts w:ascii="Times New Roman" w:eastAsia="等线" w:hAnsi="Times New Roman"/>
          <w:lang w:val="en-US"/>
        </w:rPr>
        <w:t>We now have a positive response from SA5 that introducing a priority per QoE configuration as assistance information is useful in RAN overload. Similar as in RAN overload scenario, the priority information can also be used as the selection policy for UE in case of limited storage when UE stays in RRC_INACTIVE/IDLE for a long time. UE can use the priority information to discard those QoE report with lower priority when the buffer is full.</w:t>
      </w:r>
    </w:p>
    <w:p w14:paraId="23F3E129" w14:textId="02306710" w:rsidR="00514472" w:rsidRPr="00A87A4A" w:rsidRDefault="00514472" w:rsidP="00514472">
      <w:pPr>
        <w:rPr>
          <w:rFonts w:ascii="Times New Roman" w:eastAsia="宋体" w:hAnsi="Times New Roman"/>
          <w:b/>
          <w:bCs/>
          <w:lang w:val="en-US"/>
        </w:rPr>
      </w:pPr>
      <w:r w:rsidRPr="00284144">
        <w:rPr>
          <w:rFonts w:ascii="Times New Roman" w:eastAsia="宋体" w:hAnsi="Times New Roman" w:hint="eastAsia"/>
          <w:b/>
          <w:bCs/>
          <w:lang w:val="en-US"/>
        </w:rPr>
        <w:t xml:space="preserve">Proposal </w:t>
      </w:r>
      <w:r>
        <w:rPr>
          <w:rFonts w:ascii="Times New Roman" w:eastAsia="宋体" w:hAnsi="Times New Roman"/>
          <w:b/>
          <w:bCs/>
          <w:lang w:val="en-US"/>
        </w:rPr>
        <w:t>9</w:t>
      </w:r>
      <w:r w:rsidRPr="00A87A4A">
        <w:rPr>
          <w:rFonts w:ascii="Times New Roman" w:eastAsia="宋体" w:hAnsi="Times New Roman" w:hint="eastAsia"/>
          <w:b/>
          <w:bCs/>
          <w:lang w:val="en-US"/>
        </w:rPr>
        <w:t>:</w:t>
      </w:r>
      <w:r>
        <w:rPr>
          <w:rFonts w:ascii="Times New Roman" w:eastAsia="宋体" w:hAnsi="Times New Roman"/>
          <w:b/>
          <w:bCs/>
          <w:lang w:val="en-US"/>
        </w:rPr>
        <w:t xml:space="preserve"> </w:t>
      </w:r>
      <w:r w:rsidR="006E0AD4">
        <w:rPr>
          <w:rFonts w:ascii="Times New Roman" w:eastAsia="宋体" w:hAnsi="Times New Roman"/>
          <w:b/>
          <w:bCs/>
          <w:lang w:val="en-US"/>
        </w:rPr>
        <w:t>I</w:t>
      </w:r>
      <w:r>
        <w:rPr>
          <w:rFonts w:ascii="Times New Roman" w:eastAsia="宋体" w:hAnsi="Times New Roman"/>
          <w:b/>
          <w:bCs/>
          <w:lang w:val="en-US"/>
        </w:rPr>
        <w:t xml:space="preserve">ntroduce priority information as </w:t>
      </w:r>
      <w:r w:rsidR="006E0AD4">
        <w:rPr>
          <w:rFonts w:ascii="Times New Roman" w:eastAsia="宋体" w:hAnsi="Times New Roman"/>
          <w:b/>
          <w:bCs/>
          <w:lang w:val="en-US"/>
        </w:rPr>
        <w:t>selection policy for UE in case of limited storage space</w:t>
      </w:r>
      <w:r>
        <w:rPr>
          <w:rFonts w:ascii="Times New Roman" w:eastAsia="宋体" w:hAnsi="Times New Roman"/>
          <w:b/>
          <w:bCs/>
          <w:lang w:val="en-US"/>
        </w:rPr>
        <w:t>.</w:t>
      </w:r>
    </w:p>
    <w:p w14:paraId="41482082" w14:textId="34E7BE43" w:rsidR="00A26526" w:rsidRDefault="00A26526" w:rsidP="007B51BA">
      <w:pPr>
        <w:rPr>
          <w:rFonts w:ascii="Times New Roman" w:eastAsia="等线" w:hAnsi="Times New Roman"/>
          <w:lang w:val="en-US"/>
        </w:rPr>
      </w:pPr>
    </w:p>
    <w:p w14:paraId="2D3F776F" w14:textId="77777777" w:rsidR="00A26526" w:rsidRDefault="00A26526" w:rsidP="007B51BA">
      <w:pPr>
        <w:rPr>
          <w:rFonts w:ascii="Times New Roman" w:eastAsia="等线" w:hAnsi="Times New Roman"/>
          <w:lang w:val="en-US"/>
        </w:rPr>
      </w:pPr>
    </w:p>
    <w:p w14:paraId="7A56C9FF" w14:textId="02FC2A03" w:rsidR="00202E32" w:rsidRPr="007F7143" w:rsidRDefault="00202E32" w:rsidP="007B51BA">
      <w:pPr>
        <w:pStyle w:val="2"/>
        <w:rPr>
          <w:rFonts w:ascii="Times New Roman" w:hAnsi="Times New Roman" w:cs="Times New Roman"/>
          <w:lang w:val="en-US"/>
        </w:rPr>
      </w:pPr>
      <w:r>
        <w:rPr>
          <w:rFonts w:ascii="Times New Roman" w:hAnsi="Times New Roman" w:cs="Times New Roman" w:hint="eastAsia"/>
          <w:lang w:val="en-US"/>
        </w:rPr>
        <w:t>QoE configuration for</w:t>
      </w:r>
      <w:r>
        <w:rPr>
          <w:rFonts w:ascii="Times New Roman" w:hAnsi="Times New Roman" w:cs="Times New Roman"/>
          <w:lang w:val="en-US"/>
        </w:rPr>
        <w:t xml:space="preserve"> high mobility scenarios</w:t>
      </w:r>
    </w:p>
    <w:p w14:paraId="3433CC35" w14:textId="55676855" w:rsidR="00202E32" w:rsidRDefault="00202E32" w:rsidP="00202E32">
      <w:pPr>
        <w:rPr>
          <w:rFonts w:ascii="Times New Roman" w:eastAsia="宋体" w:hAnsi="Times New Roman"/>
          <w:bCs/>
          <w:lang w:val="en-US"/>
        </w:rPr>
      </w:pPr>
      <w:r>
        <w:rPr>
          <w:rFonts w:ascii="Times New Roman" w:eastAsia="宋体" w:hAnsi="Times New Roman"/>
          <w:bCs/>
          <w:lang w:val="en-US"/>
        </w:rPr>
        <w:t>T</w:t>
      </w:r>
      <w:r>
        <w:rPr>
          <w:rFonts w:ascii="Times New Roman" w:eastAsia="宋体" w:hAnsi="Times New Roman" w:hint="eastAsia"/>
          <w:bCs/>
          <w:lang w:val="en-US"/>
        </w:rPr>
        <w:t>h</w:t>
      </w:r>
      <w:r>
        <w:rPr>
          <w:rFonts w:ascii="Times New Roman" w:eastAsia="宋体" w:hAnsi="Times New Roman"/>
          <w:bCs/>
          <w:lang w:val="en-US"/>
        </w:rPr>
        <w:t xml:space="preserve">e following was captured in the </w:t>
      </w:r>
      <w:r w:rsidR="007F7143">
        <w:rPr>
          <w:rFonts w:ascii="Times New Roman" w:eastAsia="宋体" w:hAnsi="Times New Roman"/>
          <w:bCs/>
          <w:lang w:val="en-US"/>
        </w:rPr>
        <w:t>previous</w:t>
      </w:r>
      <w:r>
        <w:rPr>
          <w:rFonts w:ascii="Times New Roman" w:eastAsia="宋体" w:hAnsi="Times New Roman"/>
          <w:bCs/>
          <w:lang w:val="en-US"/>
        </w:rPr>
        <w:t xml:space="preserve"> meeting with respect to high speed scenarios:</w:t>
      </w:r>
    </w:p>
    <w:p w14:paraId="422DDDCD" w14:textId="77777777" w:rsidR="00202E32" w:rsidRDefault="00202E32" w:rsidP="00202E32">
      <w:pPr>
        <w:spacing w:after="100" w:afterAutospacing="1"/>
        <w:rPr>
          <w:rFonts w:ascii="Calibri" w:hAnsi="Calibri" w:cs="Calibri"/>
          <w:b/>
          <w:color w:val="008000"/>
          <w:sz w:val="18"/>
        </w:rPr>
      </w:pPr>
      <w:r>
        <w:rPr>
          <w:rFonts w:ascii="Calibri" w:hAnsi="Calibri" w:cs="Calibri"/>
          <w:b/>
          <w:color w:val="008000"/>
          <w:sz w:val="18"/>
        </w:rPr>
        <w:t>RAN3 first focus on supporting the following scenario QMC:</w:t>
      </w:r>
    </w:p>
    <w:p w14:paraId="74A2E56D" w14:textId="77777777" w:rsidR="00202E32" w:rsidRDefault="00202E32" w:rsidP="00202E32">
      <w:pPr>
        <w:pStyle w:val="15"/>
        <w:numPr>
          <w:ilvl w:val="0"/>
          <w:numId w:val="11"/>
        </w:numPr>
        <w:overflowPunct w:val="0"/>
        <w:autoSpaceDE w:val="0"/>
        <w:autoSpaceDN w:val="0"/>
        <w:adjustRightInd w:val="0"/>
        <w:spacing w:after="100" w:afterAutospacing="1"/>
        <w:textAlignment w:val="baseline"/>
        <w:rPr>
          <w:rFonts w:ascii="Calibri" w:hAnsi="Calibri" w:cs="Calibri"/>
          <w:b/>
          <w:color w:val="008000"/>
          <w:sz w:val="18"/>
        </w:rPr>
      </w:pPr>
      <w:r>
        <w:rPr>
          <w:rFonts w:ascii="Calibri" w:hAnsi="Calibri" w:cs="Calibri"/>
          <w:b/>
          <w:color w:val="008000"/>
          <w:sz w:val="18"/>
        </w:rPr>
        <w:t xml:space="preserve">QoE measurement collection and reporting when the UE is in HSDN cells </w:t>
      </w:r>
    </w:p>
    <w:p w14:paraId="28486C47" w14:textId="77777777" w:rsidR="00202E32" w:rsidRDefault="00202E32" w:rsidP="00202E32">
      <w:pPr>
        <w:spacing w:after="100" w:afterAutospacing="1"/>
        <w:rPr>
          <w:rFonts w:ascii="Calibri" w:hAnsi="Calibri" w:cs="Calibri"/>
          <w:b/>
          <w:color w:val="008000"/>
          <w:sz w:val="18"/>
        </w:rPr>
      </w:pPr>
      <w:r>
        <w:rPr>
          <w:rFonts w:ascii="Calibri" w:hAnsi="Calibri" w:cs="Calibri"/>
          <w:b/>
          <w:color w:val="008000"/>
          <w:sz w:val="18"/>
        </w:rPr>
        <w:t>For confining the QoE measurements to HSDN cells, RAN3 to choose between the HSDN-wide indication, existing area scope and other possible enhancements if needed.</w:t>
      </w:r>
    </w:p>
    <w:p w14:paraId="7D6EA5FF" w14:textId="77777777" w:rsidR="00202E32" w:rsidRDefault="00202E32" w:rsidP="00202E32">
      <w:pPr>
        <w:rPr>
          <w:rFonts w:ascii="Times New Roman" w:eastAsia="等线" w:hAnsi="Times New Roman"/>
          <w:color w:val="FF0000"/>
          <w:lang w:val="en-US"/>
        </w:rPr>
      </w:pPr>
      <w:r>
        <w:rPr>
          <w:rFonts w:ascii="Calibri" w:hAnsi="Calibri" w:cs="Calibri"/>
          <w:b/>
          <w:color w:val="008000"/>
          <w:sz w:val="18"/>
        </w:rPr>
        <w:t>For supporting QMC in high mobility scenarios, RAN3 to determine the meaning of “high mobility”.</w:t>
      </w:r>
    </w:p>
    <w:p w14:paraId="18E32F69" w14:textId="77777777" w:rsidR="00202E32" w:rsidRDefault="00202E32" w:rsidP="00202E32">
      <w:pPr>
        <w:rPr>
          <w:rFonts w:ascii="Times New Roman" w:eastAsia="等线" w:hAnsi="Times New Roman"/>
          <w:lang w:val="en-US"/>
        </w:rPr>
      </w:pPr>
    </w:p>
    <w:p w14:paraId="5E9E87B7" w14:textId="3085B205" w:rsidR="00202E32" w:rsidRDefault="00202E32" w:rsidP="00202E32">
      <w:pPr>
        <w:rPr>
          <w:rFonts w:ascii="Times New Roman" w:eastAsia="等线" w:hAnsi="Times New Roman"/>
          <w:lang w:val="en-US"/>
        </w:rPr>
      </w:pPr>
      <w:r>
        <w:rPr>
          <w:rFonts w:ascii="Times New Roman" w:eastAsia="等线" w:hAnsi="Times New Roman"/>
          <w:lang w:val="en-US"/>
        </w:rPr>
        <w:t xml:space="preserve">Regarding HSDN cells, OAM is </w:t>
      </w:r>
      <w:r>
        <w:rPr>
          <w:rFonts w:ascii="Times New Roman" w:eastAsia="等线" w:hAnsi="Times New Roman" w:hint="eastAsia"/>
          <w:lang w:val="en-US"/>
        </w:rPr>
        <w:t>aware</w:t>
      </w:r>
      <w:r>
        <w:rPr>
          <w:rFonts w:ascii="Times New Roman" w:eastAsia="等线" w:hAnsi="Times New Roman"/>
          <w:lang w:val="en-US"/>
        </w:rPr>
        <w:t xml:space="preserve"> </w:t>
      </w:r>
      <w:r>
        <w:rPr>
          <w:rFonts w:ascii="Times New Roman" w:eastAsia="等线" w:hAnsi="Times New Roman" w:hint="eastAsia"/>
          <w:lang w:val="en-US"/>
        </w:rPr>
        <w:t>of</w:t>
      </w:r>
      <w:r>
        <w:rPr>
          <w:rFonts w:ascii="Times New Roman" w:eastAsia="等线" w:hAnsi="Times New Roman"/>
          <w:lang w:val="en-US"/>
        </w:rPr>
        <w:t xml:space="preserve"> </w:t>
      </w:r>
      <w:r>
        <w:rPr>
          <w:rFonts w:ascii="Times New Roman" w:eastAsia="等线" w:hAnsi="Times New Roman" w:hint="eastAsia"/>
          <w:lang w:val="en-US"/>
        </w:rPr>
        <w:t>the</w:t>
      </w:r>
      <w:r>
        <w:rPr>
          <w:rFonts w:ascii="Times New Roman" w:eastAsia="等线" w:hAnsi="Times New Roman"/>
          <w:lang w:val="en-US"/>
        </w:rPr>
        <w:t xml:space="preserve"> </w:t>
      </w:r>
      <w:r>
        <w:rPr>
          <w:rFonts w:ascii="Times New Roman" w:eastAsia="等线" w:hAnsi="Times New Roman" w:hint="eastAsia"/>
          <w:lang w:val="en-US"/>
        </w:rPr>
        <w:t>whole</w:t>
      </w:r>
      <w:r>
        <w:rPr>
          <w:rFonts w:ascii="Times New Roman" w:eastAsia="等线" w:hAnsi="Times New Roman"/>
          <w:lang w:val="en-US"/>
        </w:rPr>
        <w:t xml:space="preserve"> HSDN cell</w:t>
      </w:r>
      <w:r>
        <w:rPr>
          <w:rFonts w:ascii="Times New Roman" w:eastAsia="等线" w:hAnsi="Times New Roman" w:hint="eastAsia"/>
          <w:lang w:val="en-US"/>
        </w:rPr>
        <w:t>s</w:t>
      </w:r>
      <w:r>
        <w:rPr>
          <w:rFonts w:ascii="Times New Roman" w:eastAsia="等线" w:hAnsi="Times New Roman"/>
          <w:lang w:val="en-US"/>
        </w:rPr>
        <w:t xml:space="preserve"> list </w:t>
      </w:r>
      <w:r>
        <w:rPr>
          <w:rFonts w:ascii="Times New Roman" w:eastAsia="等线" w:hAnsi="Times New Roman" w:hint="eastAsia"/>
          <w:lang w:val="en-US"/>
        </w:rPr>
        <w:t>and</w:t>
      </w:r>
      <w:r>
        <w:rPr>
          <w:rFonts w:ascii="Times New Roman" w:eastAsia="等线" w:hAnsi="Times New Roman"/>
          <w:lang w:val="en-US"/>
        </w:rPr>
        <w:t xml:space="preserve"> </w:t>
      </w:r>
      <w:r>
        <w:rPr>
          <w:rFonts w:ascii="Times New Roman" w:eastAsia="等线" w:hAnsi="Times New Roman" w:hint="eastAsia"/>
          <w:lang w:val="en-US"/>
        </w:rPr>
        <w:t>it</w:t>
      </w:r>
      <w:r>
        <w:rPr>
          <w:rFonts w:ascii="Times New Roman" w:eastAsia="等线" w:hAnsi="Times New Roman"/>
          <w:lang w:val="en-US"/>
        </w:rPr>
        <w:t xml:space="preserve"> </w:t>
      </w:r>
      <w:r>
        <w:rPr>
          <w:rFonts w:ascii="Times New Roman" w:eastAsia="等线" w:hAnsi="Times New Roman" w:hint="eastAsia"/>
          <w:lang w:val="en-US"/>
        </w:rPr>
        <w:t>can</w:t>
      </w:r>
      <w:r>
        <w:rPr>
          <w:rFonts w:ascii="Times New Roman" w:eastAsia="等线" w:hAnsi="Times New Roman"/>
          <w:lang w:val="en-US"/>
        </w:rPr>
        <w:t xml:space="preserve"> </w:t>
      </w:r>
      <w:r>
        <w:rPr>
          <w:rFonts w:ascii="Times New Roman" w:eastAsia="等线" w:hAnsi="Times New Roman" w:hint="eastAsia"/>
          <w:lang w:val="en-US"/>
        </w:rPr>
        <w:t>configure</w:t>
      </w:r>
      <w:r>
        <w:rPr>
          <w:rFonts w:ascii="Times New Roman" w:eastAsia="等线" w:hAnsi="Times New Roman"/>
          <w:lang w:val="en-US"/>
        </w:rPr>
        <w:t xml:space="preserve"> </w:t>
      </w:r>
      <w:r>
        <w:rPr>
          <w:rFonts w:ascii="Times New Roman" w:eastAsia="等线" w:hAnsi="Times New Roman" w:hint="eastAsia"/>
          <w:lang w:val="en-US"/>
        </w:rPr>
        <w:t>those</w:t>
      </w:r>
      <w:r>
        <w:rPr>
          <w:rFonts w:ascii="Times New Roman" w:eastAsia="等线" w:hAnsi="Times New Roman"/>
          <w:lang w:val="en-US"/>
        </w:rPr>
        <w:t xml:space="preserve"> HSDN </w:t>
      </w:r>
      <w:r>
        <w:rPr>
          <w:rFonts w:ascii="Times New Roman" w:eastAsia="等线" w:hAnsi="Times New Roman" w:hint="eastAsia"/>
          <w:lang w:val="en-US"/>
        </w:rPr>
        <w:t>cell</w:t>
      </w:r>
      <w:r>
        <w:rPr>
          <w:rFonts w:ascii="Times New Roman" w:eastAsia="等线" w:hAnsi="Times New Roman"/>
          <w:lang w:val="en-US"/>
        </w:rPr>
        <w:t xml:space="preserve"> accordingly. Enlarging the QoE area scope of whole list of HSDN cells seems to be costly for the purpose of the continuity QMC in HSDN cells. Then a HSDN-cell indication can be considered, only if the HSDN cell should performance the HSDN-QoE configuration to its UEs according to this indication </w:t>
      </w:r>
      <w:r w:rsidR="000173B0">
        <w:rPr>
          <w:rFonts w:ascii="Times New Roman" w:eastAsia="等线" w:hAnsi="Times New Roman"/>
          <w:lang w:val="en-US"/>
        </w:rPr>
        <w:t xml:space="preserve">sending </w:t>
      </w:r>
      <w:r>
        <w:rPr>
          <w:rFonts w:ascii="Times New Roman" w:eastAsia="等线" w:hAnsi="Times New Roman"/>
          <w:lang w:val="en-US"/>
        </w:rPr>
        <w:t xml:space="preserve">from the OAM. </w:t>
      </w:r>
    </w:p>
    <w:p w14:paraId="02C956A5" w14:textId="0C9A3374" w:rsidR="00202E32" w:rsidRDefault="00202E32" w:rsidP="00202E32">
      <w:pPr>
        <w:rPr>
          <w:rFonts w:ascii="Times New Roman" w:eastAsia="等线" w:hAnsi="Times New Roman"/>
          <w:lang w:val="en-US"/>
        </w:rPr>
      </w:pPr>
      <w:r>
        <w:rPr>
          <w:rFonts w:ascii="Times New Roman" w:eastAsia="等线" w:hAnsi="Times New Roman"/>
          <w:lang w:val="en-US"/>
        </w:rPr>
        <w:t>Meanwhile considering the handover scenario, the target gNB can check whether it belongs to the HSDN-cell, then to decide whether to release the corresponding HSDN</w:t>
      </w:r>
      <w:r w:rsidR="000173B0">
        <w:rPr>
          <w:rFonts w:ascii="Times New Roman" w:eastAsia="等线" w:hAnsi="Times New Roman"/>
          <w:lang w:val="en-US"/>
        </w:rPr>
        <w:t xml:space="preserve"> </w:t>
      </w:r>
      <w:r>
        <w:rPr>
          <w:rFonts w:ascii="Times New Roman" w:eastAsia="等线" w:hAnsi="Times New Roman"/>
          <w:lang w:val="en-US"/>
        </w:rPr>
        <w:t xml:space="preserve">QoE measurement or not. The </w:t>
      </w:r>
      <w:r w:rsidRPr="007B44F0">
        <w:rPr>
          <w:rFonts w:ascii="Times New Roman" w:eastAsia="等线" w:hAnsi="Times New Roman"/>
          <w:lang w:val="en-US"/>
        </w:rPr>
        <w:t>non-HSDN cell can release the HSDN</w:t>
      </w:r>
      <w:r w:rsidR="000173B0">
        <w:rPr>
          <w:rFonts w:ascii="Times New Roman" w:eastAsia="等线" w:hAnsi="Times New Roman"/>
          <w:lang w:val="en-US"/>
        </w:rPr>
        <w:t xml:space="preserve"> </w:t>
      </w:r>
      <w:r w:rsidRPr="007B44F0">
        <w:rPr>
          <w:rFonts w:ascii="Times New Roman" w:eastAsia="等线" w:hAnsi="Times New Roman"/>
          <w:lang w:val="en-US"/>
        </w:rPr>
        <w:t>dedicated QoE measurement</w:t>
      </w:r>
      <w:r>
        <w:rPr>
          <w:rFonts w:ascii="Times New Roman" w:eastAsia="等线" w:hAnsi="Times New Roman"/>
          <w:lang w:val="en-US"/>
        </w:rPr>
        <w:t xml:space="preserve"> while the HSDN cell can proceed the corresponding QMC</w:t>
      </w:r>
      <w:r w:rsidRPr="007B44F0">
        <w:rPr>
          <w:rFonts w:ascii="Times New Roman" w:eastAsia="等线" w:hAnsi="Times New Roman"/>
          <w:lang w:val="en-US"/>
        </w:rPr>
        <w:t>.</w:t>
      </w:r>
    </w:p>
    <w:p w14:paraId="010D9F48" w14:textId="12B490EE" w:rsidR="00202E32" w:rsidRDefault="00202E32" w:rsidP="00202E32">
      <w:pPr>
        <w:rPr>
          <w:rFonts w:ascii="Times New Roman" w:eastAsia="宋体" w:hAnsi="Times New Roman"/>
          <w:b/>
          <w:bCs/>
          <w:lang w:val="en-US"/>
        </w:rPr>
      </w:pPr>
      <w:r>
        <w:rPr>
          <w:rFonts w:ascii="Times New Roman" w:eastAsia="宋体" w:hAnsi="Times New Roman"/>
          <w:b/>
          <w:bCs/>
          <w:lang w:val="en-US"/>
        </w:rPr>
        <w:t>Observation 1: OAM can configure the HSDN</w:t>
      </w:r>
      <w:r w:rsidR="000173B0">
        <w:rPr>
          <w:rFonts w:ascii="Times New Roman" w:eastAsia="宋体" w:hAnsi="Times New Roman"/>
          <w:b/>
          <w:bCs/>
          <w:lang w:val="en-US"/>
        </w:rPr>
        <w:t xml:space="preserve"> </w:t>
      </w:r>
      <w:r>
        <w:rPr>
          <w:rFonts w:ascii="Times New Roman" w:eastAsia="宋体" w:hAnsi="Times New Roman"/>
          <w:b/>
          <w:bCs/>
          <w:lang w:val="en-US"/>
        </w:rPr>
        <w:t>dedicated QoE measurement towards the HSDN cells.</w:t>
      </w:r>
    </w:p>
    <w:p w14:paraId="02A44E80" w14:textId="73E99908" w:rsidR="00202E32" w:rsidRPr="003121A4" w:rsidRDefault="006E0AD4" w:rsidP="00202E32">
      <w:pPr>
        <w:rPr>
          <w:rFonts w:ascii="Times New Roman" w:eastAsia="等线" w:hAnsi="Times New Roman"/>
          <w:b/>
          <w:lang w:val="en-US"/>
        </w:rPr>
      </w:pPr>
      <w:r>
        <w:rPr>
          <w:rFonts w:ascii="Times New Roman" w:eastAsia="宋体" w:hAnsi="Times New Roman"/>
          <w:b/>
          <w:bCs/>
          <w:lang w:val="en-US"/>
        </w:rPr>
        <w:t>Proposal 10</w:t>
      </w:r>
      <w:r w:rsidR="00202E32">
        <w:rPr>
          <w:rFonts w:ascii="Times New Roman" w:eastAsia="宋体" w:hAnsi="Times New Roman"/>
          <w:b/>
          <w:bCs/>
          <w:lang w:val="en-US"/>
        </w:rPr>
        <w:t xml:space="preserve">: </w:t>
      </w:r>
      <w:r w:rsidR="00202E32">
        <w:rPr>
          <w:rFonts w:ascii="Times New Roman" w:eastAsia="等线" w:hAnsi="Times New Roman"/>
          <w:b/>
          <w:lang w:val="en-US"/>
        </w:rPr>
        <w:t>A HSDN-wide indication can be added for HSDN QoE configuration for handover scenarios</w:t>
      </w:r>
      <w:r w:rsidR="00202E32">
        <w:rPr>
          <w:rFonts w:ascii="Times New Roman" w:eastAsia="宋体" w:hAnsi="Times New Roman"/>
          <w:b/>
          <w:bCs/>
          <w:lang w:val="en-US"/>
        </w:rPr>
        <w:t>.</w:t>
      </w:r>
    </w:p>
    <w:p w14:paraId="74643798" w14:textId="6677BB5C" w:rsidR="00202E32" w:rsidRDefault="006E0AD4" w:rsidP="00202E32">
      <w:pPr>
        <w:rPr>
          <w:rFonts w:ascii="Times New Roman" w:eastAsia="等线" w:hAnsi="Times New Roman"/>
          <w:lang w:val="en-US"/>
        </w:rPr>
      </w:pPr>
      <w:r>
        <w:rPr>
          <w:rFonts w:ascii="Times New Roman" w:eastAsia="宋体" w:hAnsi="Times New Roman"/>
          <w:b/>
          <w:bCs/>
          <w:lang w:val="en-US"/>
        </w:rPr>
        <w:t>Proposal 11</w:t>
      </w:r>
      <w:r w:rsidR="00202E32">
        <w:rPr>
          <w:rFonts w:ascii="Times New Roman" w:eastAsia="宋体" w:hAnsi="Times New Roman"/>
          <w:b/>
          <w:bCs/>
          <w:lang w:val="en-US"/>
        </w:rPr>
        <w:t>: The non-HSDN cells can release the HSDN-dedicated QoE measurement.</w:t>
      </w:r>
    </w:p>
    <w:p w14:paraId="43B5AAA7" w14:textId="77777777" w:rsidR="00202E32" w:rsidRPr="000F729B" w:rsidRDefault="00202E32" w:rsidP="00202E32">
      <w:pPr>
        <w:rPr>
          <w:rFonts w:ascii="Times New Roman" w:eastAsia="等线" w:hAnsi="Times New Roman"/>
          <w:lang w:val="en-US"/>
        </w:rPr>
      </w:pPr>
    </w:p>
    <w:p w14:paraId="2B60A2F5" w14:textId="3428BF3F" w:rsidR="00202E32" w:rsidRDefault="00202E32" w:rsidP="00202E32">
      <w:pPr>
        <w:rPr>
          <w:rFonts w:ascii="Times New Roman" w:eastAsia="等线" w:hAnsi="Times New Roman"/>
          <w:lang w:val="en-US"/>
        </w:rPr>
      </w:pPr>
      <w:r>
        <w:rPr>
          <w:rFonts w:ascii="Times New Roman" w:eastAsia="等线" w:hAnsi="Times New Roman" w:hint="eastAsia"/>
          <w:lang w:val="en-US"/>
        </w:rPr>
        <w:t>F</w:t>
      </w:r>
      <w:r>
        <w:rPr>
          <w:rFonts w:ascii="Times New Roman" w:eastAsia="等线" w:hAnsi="Times New Roman"/>
          <w:lang w:val="en-US"/>
        </w:rPr>
        <w:t>or determining the meaning of “high mobility”, based on the previous agreement, we first focus on the UEs in HSDN cell in high-mobility state, then RAN3 can start with the HSDN cells in high mobility scenarios.</w:t>
      </w:r>
    </w:p>
    <w:p w14:paraId="35586620" w14:textId="59822CEA" w:rsidR="00202E32" w:rsidRDefault="006E0AD4" w:rsidP="00202E32">
      <w:pPr>
        <w:rPr>
          <w:rFonts w:ascii="Times New Roman" w:eastAsia="等线" w:hAnsi="Times New Roman"/>
          <w:lang w:val="en-US"/>
        </w:rPr>
      </w:pPr>
      <w:r>
        <w:rPr>
          <w:rFonts w:ascii="Times New Roman" w:eastAsia="宋体" w:hAnsi="Times New Roman"/>
          <w:b/>
          <w:bCs/>
          <w:lang w:val="en-US"/>
        </w:rPr>
        <w:t>Proposal 12</w:t>
      </w:r>
      <w:r w:rsidR="00202E32">
        <w:rPr>
          <w:rFonts w:ascii="Times New Roman" w:eastAsia="宋体" w:hAnsi="Times New Roman"/>
          <w:b/>
          <w:bCs/>
          <w:lang w:val="en-US"/>
        </w:rPr>
        <w:t xml:space="preserve">: </w:t>
      </w:r>
      <w:r w:rsidR="00202E32" w:rsidRPr="0012488A">
        <w:rPr>
          <w:rFonts w:ascii="Times New Roman" w:eastAsia="宋体" w:hAnsi="Times New Roman"/>
          <w:b/>
          <w:bCs/>
          <w:lang w:val="en-US"/>
        </w:rPr>
        <w:t>For supporting QMC in high mobility scenarios</w:t>
      </w:r>
      <w:r w:rsidR="004E6B7C">
        <w:rPr>
          <w:rFonts w:ascii="Times New Roman" w:eastAsia="宋体" w:hAnsi="Times New Roman"/>
          <w:b/>
          <w:bCs/>
          <w:lang w:val="en-US"/>
        </w:rPr>
        <w:t xml:space="preserve">, RAN3 decides to support HSDN </w:t>
      </w:r>
      <w:r w:rsidR="004E6B7C">
        <w:rPr>
          <w:rFonts w:ascii="Times New Roman" w:eastAsia="宋体" w:hAnsi="Times New Roman" w:hint="eastAsia"/>
          <w:b/>
          <w:bCs/>
          <w:lang w:val="en-US"/>
        </w:rPr>
        <w:t>cell</w:t>
      </w:r>
      <w:r w:rsidR="004E6B7C">
        <w:rPr>
          <w:rFonts w:ascii="Times New Roman" w:eastAsia="宋体" w:hAnsi="Times New Roman"/>
          <w:b/>
          <w:bCs/>
          <w:lang w:val="en-US"/>
        </w:rPr>
        <w:t xml:space="preserve"> </w:t>
      </w:r>
      <w:r w:rsidR="004E6B7C">
        <w:rPr>
          <w:rFonts w:ascii="Times New Roman" w:eastAsia="宋体" w:hAnsi="Times New Roman" w:hint="eastAsia"/>
          <w:b/>
          <w:bCs/>
          <w:lang w:val="en-US"/>
        </w:rPr>
        <w:t>only</w:t>
      </w:r>
      <w:r w:rsidR="00C922A4">
        <w:rPr>
          <w:rFonts w:ascii="Times New Roman" w:eastAsia="宋体" w:hAnsi="Times New Roman"/>
          <w:b/>
          <w:bCs/>
          <w:lang w:val="en-US"/>
        </w:rPr>
        <w:t xml:space="preserve"> </w:t>
      </w:r>
      <w:r w:rsidR="00C922A4">
        <w:rPr>
          <w:rFonts w:ascii="Times New Roman" w:eastAsia="宋体" w:hAnsi="Times New Roman" w:hint="eastAsia"/>
          <w:b/>
          <w:bCs/>
          <w:lang w:val="en-US"/>
        </w:rPr>
        <w:t>scenario</w:t>
      </w:r>
      <w:r w:rsidR="00202E32">
        <w:rPr>
          <w:rFonts w:ascii="Times New Roman" w:eastAsia="宋体" w:hAnsi="Times New Roman"/>
          <w:b/>
          <w:bCs/>
          <w:lang w:val="en-US"/>
        </w:rPr>
        <w:t>.</w:t>
      </w:r>
    </w:p>
    <w:p w14:paraId="0220E7D7" w14:textId="77777777" w:rsidR="00202E32" w:rsidRPr="00202E32" w:rsidRDefault="00202E32" w:rsidP="007B51BA">
      <w:pPr>
        <w:rPr>
          <w:rFonts w:ascii="Times New Roman" w:eastAsia="等线" w:hAnsi="Times New Roman"/>
          <w:lang w:val="en-US"/>
        </w:rPr>
      </w:pPr>
    </w:p>
    <w:p w14:paraId="20614FA8" w14:textId="1282B957" w:rsidR="00904069" w:rsidRPr="007F7143" w:rsidRDefault="00904069">
      <w:pPr>
        <w:rPr>
          <w:rFonts w:ascii="Times New Roman" w:eastAsia="等线" w:hAnsi="Times New Roman"/>
          <w:bCs/>
          <w:lang w:val="en-US"/>
        </w:rPr>
      </w:pPr>
    </w:p>
    <w:p w14:paraId="0E11A7D3" w14:textId="7E7B632F" w:rsidR="00F364BB" w:rsidRPr="00F364BB" w:rsidRDefault="00D4159A" w:rsidP="00F364BB">
      <w:pPr>
        <w:pStyle w:val="1"/>
        <w:rPr>
          <w:rFonts w:ascii="Times New Roman" w:hAnsi="Times New Roman" w:cs="Times New Roman"/>
          <w:sz w:val="40"/>
        </w:rPr>
      </w:pPr>
      <w:r>
        <w:rPr>
          <w:rFonts w:ascii="Times New Roman" w:hAnsi="Times New Roman" w:cs="Times New Roman"/>
          <w:sz w:val="40"/>
        </w:rPr>
        <w:t>Conclusion</w:t>
      </w:r>
      <w:bookmarkStart w:id="1" w:name="_In-sequence_SDU_delivery"/>
      <w:bookmarkEnd w:id="1"/>
    </w:p>
    <w:p w14:paraId="24CBF739" w14:textId="0ADAFC30" w:rsidR="007F7143" w:rsidRPr="0099300E" w:rsidRDefault="00E151C3" w:rsidP="007F7143">
      <w:pPr>
        <w:pStyle w:val="Default"/>
        <w:rPr>
          <w:rFonts w:eastAsia="等线"/>
          <w:b/>
          <w:sz w:val="20"/>
        </w:rPr>
      </w:pPr>
      <w:r w:rsidRPr="00E96E22">
        <w:rPr>
          <w:b/>
          <w:sz w:val="20"/>
        </w:rPr>
        <w:t>Proposal 1: RAN3 agree to consider MBS as a communication service in Rel-18.</w:t>
      </w:r>
    </w:p>
    <w:p w14:paraId="64613D6E" w14:textId="77777777" w:rsidR="00E96E22" w:rsidRDefault="00E96E22" w:rsidP="00E96E22">
      <w:pPr>
        <w:rPr>
          <w:rFonts w:ascii="Times New Roman" w:eastAsia="宋体" w:hAnsi="Times New Roman"/>
          <w:b/>
          <w:bCs/>
          <w:lang w:val="en-US"/>
        </w:rPr>
      </w:pPr>
      <w:r>
        <w:rPr>
          <w:rFonts w:ascii="Times New Roman" w:eastAsia="宋体" w:hAnsi="Times New Roman" w:hint="eastAsia"/>
          <w:b/>
          <w:bCs/>
          <w:lang w:val="en-US"/>
        </w:rPr>
        <w:t xml:space="preserve">Proposal </w:t>
      </w:r>
      <w:r>
        <w:rPr>
          <w:rFonts w:ascii="Times New Roman" w:eastAsia="宋体" w:hAnsi="Times New Roman"/>
          <w:b/>
          <w:bCs/>
          <w:lang w:val="en-US"/>
        </w:rPr>
        <w:t>2</w:t>
      </w:r>
      <w:r>
        <w:rPr>
          <w:rFonts w:ascii="Times New Roman" w:eastAsia="宋体" w:hAnsi="Times New Roman" w:hint="eastAsia"/>
          <w:b/>
          <w:bCs/>
          <w:lang w:val="en-US"/>
        </w:rPr>
        <w:t>:</w:t>
      </w:r>
      <w:r>
        <w:rPr>
          <w:rFonts w:ascii="Times New Roman" w:eastAsia="宋体" w:hAnsi="Times New Roman"/>
          <w:b/>
          <w:bCs/>
          <w:lang w:val="en-US"/>
        </w:rPr>
        <w:t xml:space="preserve"> MCE IP ID information can be provided to new gNB for UE-based solution, and MCE IP address IE can be provided to new gNB for CN-based solution.</w:t>
      </w:r>
    </w:p>
    <w:p w14:paraId="3401F942" w14:textId="77777777" w:rsidR="00E96E22" w:rsidRDefault="00E96E22" w:rsidP="00E96E22">
      <w:pPr>
        <w:rPr>
          <w:rFonts w:ascii="Times New Roman" w:eastAsia="宋体" w:hAnsi="Times New Roman"/>
          <w:bCs/>
          <w:lang w:val="en-US"/>
        </w:rPr>
      </w:pPr>
      <w:r w:rsidRPr="00284144">
        <w:rPr>
          <w:rFonts w:ascii="Times New Roman" w:eastAsia="宋体" w:hAnsi="Times New Roman" w:hint="eastAsia"/>
          <w:b/>
          <w:bCs/>
          <w:lang w:val="en-US"/>
        </w:rPr>
        <w:t xml:space="preserve">Proposal </w:t>
      </w:r>
      <w:r>
        <w:rPr>
          <w:rFonts w:ascii="Times New Roman" w:eastAsia="宋体" w:hAnsi="Times New Roman"/>
          <w:b/>
          <w:bCs/>
          <w:lang w:val="en-US"/>
        </w:rPr>
        <w:t>3</w:t>
      </w:r>
      <w:r w:rsidRPr="00284144">
        <w:rPr>
          <w:rFonts w:ascii="Times New Roman" w:eastAsia="宋体" w:hAnsi="Times New Roman" w:hint="eastAsia"/>
          <w:b/>
          <w:bCs/>
          <w:lang w:val="en-US"/>
        </w:rPr>
        <w:t>:</w:t>
      </w:r>
      <w:r>
        <w:rPr>
          <w:rFonts w:ascii="Times New Roman" w:eastAsia="宋体" w:hAnsi="Times New Roman"/>
          <w:b/>
          <w:bCs/>
          <w:lang w:val="en-US"/>
        </w:rPr>
        <w:t xml:space="preserve"> Area Scope IE can be provided to new gNB for MBS BC QoE.</w:t>
      </w:r>
    </w:p>
    <w:p w14:paraId="76D719E6" w14:textId="77777777" w:rsidR="0008261D" w:rsidRPr="00227DE6" w:rsidRDefault="0008261D" w:rsidP="0008261D">
      <w:pPr>
        <w:rPr>
          <w:rFonts w:ascii="Times New Roman" w:eastAsia="宋体" w:hAnsi="Times New Roman"/>
          <w:b/>
          <w:bCs/>
          <w:lang w:val="en-US"/>
        </w:rPr>
      </w:pPr>
      <w:r>
        <w:rPr>
          <w:rFonts w:ascii="Times New Roman" w:eastAsia="宋体" w:hAnsi="Times New Roman" w:hint="eastAsia"/>
          <w:b/>
          <w:bCs/>
          <w:lang w:val="en-US"/>
        </w:rPr>
        <w:t>Proposal</w:t>
      </w:r>
      <w:r>
        <w:rPr>
          <w:rFonts w:ascii="Times New Roman" w:eastAsia="宋体" w:hAnsi="Times New Roman"/>
          <w:b/>
          <w:bCs/>
          <w:lang w:val="en-US"/>
        </w:rPr>
        <w:t xml:space="preserve"> 4</w:t>
      </w:r>
      <w:r>
        <w:rPr>
          <w:rFonts w:ascii="Times New Roman" w:eastAsia="宋体" w:hAnsi="Times New Roman" w:hint="eastAsia"/>
          <w:b/>
          <w:bCs/>
          <w:lang w:val="en-US"/>
        </w:rPr>
        <w:t>:</w:t>
      </w:r>
      <w:r>
        <w:rPr>
          <w:rFonts w:ascii="Times New Roman" w:eastAsia="宋体" w:hAnsi="Times New Roman"/>
          <w:b/>
          <w:bCs/>
          <w:lang w:val="en-US"/>
        </w:rPr>
        <w:t xml:space="preserve"> UE should include </w:t>
      </w:r>
      <w:r w:rsidRPr="005325BB">
        <w:rPr>
          <w:rFonts w:ascii="Times New Roman" w:eastAsia="宋体" w:hAnsi="Times New Roman"/>
          <w:b/>
          <w:bCs/>
          <w:lang w:val="en-US"/>
        </w:rPr>
        <w:t xml:space="preserve">the number of </w:t>
      </w:r>
      <w:r>
        <w:rPr>
          <w:rFonts w:ascii="Times New Roman" w:eastAsia="宋体" w:hAnsi="Times New Roman"/>
          <w:b/>
          <w:bCs/>
          <w:lang w:val="en-US"/>
        </w:rPr>
        <w:t>existing</w:t>
      </w:r>
      <w:r w:rsidRPr="005325BB">
        <w:rPr>
          <w:rFonts w:ascii="Times New Roman" w:eastAsia="宋体" w:hAnsi="Times New Roman"/>
          <w:b/>
          <w:bCs/>
          <w:lang w:val="en-US"/>
        </w:rPr>
        <w:t xml:space="preserve"> QoE configuration</w:t>
      </w:r>
      <w:r>
        <w:rPr>
          <w:rFonts w:ascii="Times New Roman" w:eastAsia="宋体" w:hAnsi="Times New Roman"/>
          <w:b/>
          <w:bCs/>
          <w:lang w:val="en-US"/>
        </w:rPr>
        <w:t xml:space="preserve"> when </w:t>
      </w:r>
      <w:r w:rsidRPr="0008261D">
        <w:rPr>
          <w:rFonts w:ascii="Times New Roman" w:eastAsia="宋体" w:hAnsi="Times New Roman"/>
          <w:b/>
          <w:bCs/>
          <w:lang w:val="en-US"/>
        </w:rPr>
        <w:t>the UE switches from RRC_IDLE to RRC_CONNECTED in RRCSetupComplete message to avoid overriding issue.</w:t>
      </w:r>
    </w:p>
    <w:p w14:paraId="64248196" w14:textId="68395E73" w:rsidR="0008261D" w:rsidRDefault="0008261D" w:rsidP="0008261D">
      <w:pPr>
        <w:rPr>
          <w:rFonts w:ascii="Times New Roman" w:eastAsia="宋体" w:hAnsi="Times New Roman"/>
          <w:b/>
          <w:bCs/>
          <w:lang w:val="en-US"/>
        </w:rPr>
      </w:pPr>
      <w:r>
        <w:rPr>
          <w:rFonts w:ascii="Times New Roman" w:eastAsia="宋体" w:hAnsi="Times New Roman" w:hint="eastAsia"/>
          <w:b/>
          <w:bCs/>
          <w:lang w:val="en-US"/>
        </w:rPr>
        <w:t xml:space="preserve">Proposal </w:t>
      </w:r>
      <w:r>
        <w:rPr>
          <w:rFonts w:ascii="Times New Roman" w:eastAsia="宋体" w:hAnsi="Times New Roman"/>
          <w:b/>
          <w:bCs/>
          <w:lang w:val="en-US"/>
        </w:rPr>
        <w:t>5</w:t>
      </w:r>
      <w:r>
        <w:rPr>
          <w:rFonts w:ascii="Times New Roman" w:eastAsia="宋体" w:hAnsi="Times New Roman" w:hint="eastAsia"/>
          <w:b/>
          <w:bCs/>
          <w:lang w:val="en-US"/>
        </w:rPr>
        <w:t>:</w:t>
      </w:r>
      <w:r>
        <w:rPr>
          <w:rFonts w:ascii="Times New Roman" w:eastAsia="宋体" w:hAnsi="Times New Roman"/>
          <w:b/>
          <w:bCs/>
          <w:lang w:val="en-US"/>
        </w:rPr>
        <w:t xml:space="preserve"> RAN3 </w:t>
      </w:r>
      <w:r w:rsidRPr="0008261D">
        <w:rPr>
          <w:rFonts w:ascii="Times New Roman" w:eastAsia="宋体" w:hAnsi="Times New Roman"/>
          <w:b/>
          <w:bCs/>
          <w:lang w:val="en-US"/>
        </w:rPr>
        <w:t>agrees UE-based solution to handle the MBS broadcast QoE measurements can proceed after the UE switches from RRC_IDLE to RRC_CONNECTED.</w:t>
      </w:r>
    </w:p>
    <w:p w14:paraId="653E7AEC" w14:textId="7BDCE405" w:rsidR="0008261D" w:rsidRDefault="0008261D" w:rsidP="0008261D">
      <w:pPr>
        <w:rPr>
          <w:rFonts w:ascii="Times New Roman" w:eastAsia="宋体" w:hAnsi="Times New Roman"/>
          <w:b/>
          <w:bCs/>
          <w:lang w:val="en-US"/>
        </w:rPr>
      </w:pPr>
      <w:r w:rsidRPr="00284144">
        <w:rPr>
          <w:rFonts w:ascii="Times New Roman" w:eastAsia="宋体" w:hAnsi="Times New Roman" w:hint="eastAsia"/>
          <w:b/>
          <w:bCs/>
          <w:lang w:val="en-US"/>
        </w:rPr>
        <w:t xml:space="preserve">Proposal </w:t>
      </w:r>
      <w:r>
        <w:rPr>
          <w:rFonts w:ascii="Times New Roman" w:eastAsia="宋体" w:hAnsi="Times New Roman"/>
          <w:b/>
          <w:bCs/>
          <w:lang w:val="en-US"/>
        </w:rPr>
        <w:t>6:</w:t>
      </w:r>
      <w:r w:rsidRPr="006655E7">
        <w:rPr>
          <w:rFonts w:ascii="Times New Roman" w:eastAsia="宋体" w:hAnsi="Times New Roman"/>
          <w:b/>
          <w:bCs/>
          <w:lang w:val="en-US"/>
        </w:rPr>
        <w:t xml:space="preserve"> RVQoE measurement </w:t>
      </w:r>
      <w:r>
        <w:rPr>
          <w:rFonts w:ascii="Times New Roman" w:eastAsia="宋体" w:hAnsi="Times New Roman"/>
          <w:b/>
          <w:bCs/>
          <w:lang w:val="en-US"/>
        </w:rPr>
        <w:t>is supported in</w:t>
      </w:r>
      <w:r w:rsidRPr="006655E7">
        <w:rPr>
          <w:rFonts w:ascii="Times New Roman" w:eastAsia="宋体" w:hAnsi="Times New Roman"/>
          <w:b/>
          <w:bCs/>
          <w:lang w:val="en-US"/>
        </w:rPr>
        <w:t xml:space="preserve"> RRC_CONNECTED state</w:t>
      </w:r>
      <w:r>
        <w:rPr>
          <w:rFonts w:ascii="Times New Roman" w:eastAsia="宋体" w:hAnsi="Times New Roman"/>
          <w:b/>
          <w:bCs/>
          <w:lang w:val="en-US"/>
        </w:rPr>
        <w:t>.</w:t>
      </w:r>
    </w:p>
    <w:p w14:paraId="28FEA8F8" w14:textId="2AFA5E17" w:rsidR="0008261D" w:rsidRDefault="0008261D" w:rsidP="0008261D">
      <w:pPr>
        <w:rPr>
          <w:rFonts w:ascii="Times New Roman" w:eastAsia="宋体" w:hAnsi="Times New Roman"/>
          <w:b/>
          <w:bCs/>
          <w:lang w:val="en-US"/>
        </w:rPr>
      </w:pPr>
      <w:r w:rsidRPr="00284144">
        <w:rPr>
          <w:rFonts w:ascii="Times New Roman" w:eastAsia="宋体" w:hAnsi="Times New Roman" w:hint="eastAsia"/>
          <w:b/>
          <w:bCs/>
          <w:lang w:val="en-US"/>
        </w:rPr>
        <w:t xml:space="preserve">Proposal </w:t>
      </w:r>
      <w:r>
        <w:rPr>
          <w:rFonts w:ascii="Times New Roman" w:eastAsia="宋体" w:hAnsi="Times New Roman"/>
          <w:b/>
          <w:bCs/>
          <w:lang w:val="en-US"/>
        </w:rPr>
        <w:t>7:</w:t>
      </w:r>
      <w:r w:rsidRPr="006655E7">
        <w:rPr>
          <w:rFonts w:ascii="Times New Roman" w:eastAsia="宋体" w:hAnsi="Times New Roman"/>
          <w:b/>
          <w:bCs/>
          <w:lang w:val="en-US"/>
        </w:rPr>
        <w:t xml:space="preserve"> </w:t>
      </w:r>
      <w:r w:rsidRPr="00B11245">
        <w:rPr>
          <w:rFonts w:ascii="Times New Roman" w:eastAsia="宋体" w:hAnsi="Times New Roman"/>
          <w:b/>
          <w:bCs/>
          <w:lang w:val="en-US"/>
        </w:rPr>
        <w:t>RAN3</w:t>
      </w:r>
      <w:r>
        <w:rPr>
          <w:rFonts w:ascii="Times New Roman" w:eastAsia="宋体" w:hAnsi="Times New Roman"/>
          <w:b/>
          <w:bCs/>
          <w:lang w:val="en-US"/>
        </w:rPr>
        <w:t xml:space="preserve"> </w:t>
      </w:r>
      <w:r w:rsidR="00052983">
        <w:rPr>
          <w:rFonts w:ascii="Times New Roman" w:eastAsia="宋体" w:hAnsi="Times New Roman"/>
          <w:b/>
          <w:bCs/>
          <w:lang w:val="en-US"/>
        </w:rPr>
        <w:t>decide to reuse</w:t>
      </w:r>
      <w:r>
        <w:rPr>
          <w:rFonts w:ascii="Times New Roman" w:eastAsia="宋体" w:hAnsi="Times New Roman"/>
          <w:b/>
          <w:bCs/>
          <w:lang w:val="en-US"/>
        </w:rPr>
        <w:t xml:space="preserve"> the existing RVQoE metric for each service type delivered by MBS.</w:t>
      </w:r>
    </w:p>
    <w:p w14:paraId="2B32B2DF" w14:textId="77777777" w:rsidR="0088034F" w:rsidRPr="00A87A4A" w:rsidRDefault="0088034F" w:rsidP="0088034F">
      <w:pPr>
        <w:rPr>
          <w:rFonts w:ascii="Times New Roman" w:eastAsia="宋体" w:hAnsi="Times New Roman"/>
          <w:b/>
          <w:bCs/>
          <w:lang w:val="en-US"/>
        </w:rPr>
      </w:pPr>
      <w:r w:rsidRPr="00284144">
        <w:rPr>
          <w:rFonts w:ascii="Times New Roman" w:eastAsia="宋体" w:hAnsi="Times New Roman" w:hint="eastAsia"/>
          <w:b/>
          <w:bCs/>
          <w:lang w:val="en-US"/>
        </w:rPr>
        <w:t xml:space="preserve">Proposal </w:t>
      </w:r>
      <w:r>
        <w:rPr>
          <w:rFonts w:ascii="Times New Roman" w:eastAsia="宋体" w:hAnsi="Times New Roman"/>
          <w:b/>
          <w:bCs/>
          <w:lang w:val="en-US"/>
        </w:rPr>
        <w:t>8</w:t>
      </w:r>
      <w:r w:rsidRPr="00A87A4A">
        <w:rPr>
          <w:rFonts w:ascii="Times New Roman" w:eastAsia="宋体" w:hAnsi="Times New Roman" w:hint="eastAsia"/>
          <w:b/>
          <w:bCs/>
          <w:lang w:val="en-US"/>
        </w:rPr>
        <w:t>:</w:t>
      </w:r>
      <w:r w:rsidRPr="00A87A4A">
        <w:rPr>
          <w:rFonts w:ascii="Times New Roman" w:eastAsia="宋体" w:hAnsi="Times New Roman"/>
          <w:b/>
          <w:bCs/>
          <w:lang w:val="en-US"/>
        </w:rPr>
        <w:t xml:space="preserve"> </w:t>
      </w:r>
      <w:r>
        <w:rPr>
          <w:rFonts w:ascii="Times New Roman" w:eastAsia="宋体" w:hAnsi="Times New Roman"/>
          <w:b/>
          <w:bCs/>
          <w:lang w:val="en-US"/>
        </w:rPr>
        <w:t>T</w:t>
      </w:r>
      <w:r>
        <w:rPr>
          <w:rFonts w:ascii="Times New Roman" w:eastAsia="宋体" w:hAnsi="Times New Roman" w:hint="eastAsia"/>
          <w:b/>
          <w:bCs/>
          <w:lang w:val="en-US"/>
        </w:rPr>
        <w:t>urn</w:t>
      </w:r>
      <w:r>
        <w:rPr>
          <w:rFonts w:ascii="Times New Roman" w:eastAsia="宋体" w:hAnsi="Times New Roman"/>
          <w:b/>
          <w:bCs/>
          <w:lang w:val="en-US"/>
        </w:rPr>
        <w:t xml:space="preserve"> WA </w:t>
      </w:r>
      <w:r>
        <w:rPr>
          <w:rFonts w:ascii="Times New Roman" w:eastAsia="宋体" w:hAnsi="Times New Roman" w:hint="eastAsia"/>
          <w:b/>
          <w:bCs/>
          <w:lang w:val="en-US"/>
        </w:rPr>
        <w:t>into</w:t>
      </w:r>
      <w:r>
        <w:rPr>
          <w:rFonts w:ascii="Times New Roman" w:eastAsia="宋体" w:hAnsi="Times New Roman"/>
          <w:b/>
          <w:bCs/>
          <w:lang w:val="en-US"/>
        </w:rPr>
        <w:t xml:space="preserve"> </w:t>
      </w:r>
      <w:r>
        <w:rPr>
          <w:rFonts w:ascii="Times New Roman" w:eastAsia="宋体" w:hAnsi="Times New Roman" w:hint="eastAsia"/>
          <w:b/>
          <w:bCs/>
          <w:lang w:val="en-US"/>
        </w:rPr>
        <w:t>agreement</w:t>
      </w:r>
      <w:r>
        <w:rPr>
          <w:rFonts w:ascii="Times New Roman" w:eastAsia="宋体" w:hAnsi="Times New Roman"/>
          <w:b/>
          <w:bCs/>
          <w:lang w:val="en-US"/>
        </w:rPr>
        <w:t xml:space="preserve"> </w:t>
      </w:r>
      <w:r>
        <w:rPr>
          <w:rFonts w:ascii="Times New Roman" w:eastAsia="宋体" w:hAnsi="Times New Roman" w:hint="eastAsia"/>
          <w:b/>
          <w:bCs/>
          <w:lang w:val="en-US"/>
        </w:rPr>
        <w:t>that</w:t>
      </w:r>
      <w:r>
        <w:rPr>
          <w:rFonts w:ascii="Times New Roman" w:eastAsia="宋体" w:hAnsi="Times New Roman"/>
          <w:b/>
          <w:bCs/>
          <w:lang w:val="en-US"/>
        </w:rPr>
        <w:t xml:space="preserve"> available RVQoE metrics </w:t>
      </w:r>
      <w:r w:rsidRPr="00A87A4A">
        <w:rPr>
          <w:rFonts w:ascii="Times New Roman" w:eastAsia="宋体" w:hAnsi="Times New Roman"/>
          <w:b/>
          <w:bCs/>
          <w:lang w:val="en-US"/>
        </w:rPr>
        <w:t>need to be provided at new gNB</w:t>
      </w:r>
      <w:r>
        <w:rPr>
          <w:rFonts w:ascii="Times New Roman" w:eastAsia="宋体" w:hAnsi="Times New Roman"/>
          <w:b/>
          <w:bCs/>
          <w:lang w:val="en-US"/>
        </w:rPr>
        <w:t xml:space="preserve"> for MBS BC QoE.</w:t>
      </w:r>
    </w:p>
    <w:p w14:paraId="6DA5A7A0" w14:textId="4BB7E445" w:rsidR="0008261D" w:rsidRDefault="0008261D" w:rsidP="007F7143">
      <w:pPr>
        <w:rPr>
          <w:rFonts w:ascii="Times New Roman" w:eastAsia="宋体" w:hAnsi="Times New Roman"/>
          <w:b/>
          <w:bCs/>
          <w:lang w:val="en-US"/>
        </w:rPr>
      </w:pPr>
      <w:r w:rsidRPr="00284144">
        <w:rPr>
          <w:rFonts w:ascii="Times New Roman" w:eastAsia="宋体" w:hAnsi="Times New Roman" w:hint="eastAsia"/>
          <w:b/>
          <w:bCs/>
          <w:lang w:val="en-US"/>
        </w:rPr>
        <w:t xml:space="preserve">Proposal </w:t>
      </w:r>
      <w:r>
        <w:rPr>
          <w:rFonts w:ascii="Times New Roman" w:eastAsia="宋体" w:hAnsi="Times New Roman"/>
          <w:b/>
          <w:bCs/>
          <w:lang w:val="en-US"/>
        </w:rPr>
        <w:t>9</w:t>
      </w:r>
      <w:r w:rsidRPr="00A87A4A">
        <w:rPr>
          <w:rFonts w:ascii="Times New Roman" w:eastAsia="宋体" w:hAnsi="Times New Roman" w:hint="eastAsia"/>
          <w:b/>
          <w:bCs/>
          <w:lang w:val="en-US"/>
        </w:rPr>
        <w:t>:</w:t>
      </w:r>
      <w:r>
        <w:rPr>
          <w:rFonts w:ascii="Times New Roman" w:eastAsia="宋体" w:hAnsi="Times New Roman"/>
          <w:b/>
          <w:bCs/>
          <w:lang w:val="en-US"/>
        </w:rPr>
        <w:t xml:space="preserve"> Introduce priority information as selection policy for UE in case of limited storage space.</w:t>
      </w:r>
    </w:p>
    <w:p w14:paraId="68BD044E" w14:textId="3DBBA57D" w:rsidR="00197560" w:rsidRPr="00197560" w:rsidRDefault="00197560" w:rsidP="007F7143">
      <w:pPr>
        <w:rPr>
          <w:rFonts w:ascii="Times New Roman" w:eastAsia="宋体" w:hAnsi="Times New Roman"/>
          <w:b/>
          <w:bCs/>
          <w:lang w:val="en-US"/>
        </w:rPr>
      </w:pPr>
      <w:r w:rsidRPr="0008261D">
        <w:rPr>
          <w:rFonts w:ascii="Times New Roman" w:eastAsia="宋体" w:hAnsi="Times New Roman"/>
          <w:b/>
          <w:bCs/>
          <w:lang w:val="en-US"/>
        </w:rPr>
        <w:t>Observation 1: OAM can configure the HSDN-dedicated QoE measurement towards the HSDN cells.</w:t>
      </w:r>
    </w:p>
    <w:p w14:paraId="10419957" w14:textId="5AEDBE2D" w:rsidR="007F7143" w:rsidRPr="0008261D" w:rsidRDefault="007F7143" w:rsidP="007F7143">
      <w:pPr>
        <w:rPr>
          <w:rFonts w:ascii="Times New Roman" w:eastAsia="宋体" w:hAnsi="Times New Roman"/>
          <w:b/>
          <w:bCs/>
          <w:lang w:val="en-US"/>
        </w:rPr>
      </w:pPr>
      <w:r>
        <w:rPr>
          <w:rFonts w:ascii="Times New Roman" w:eastAsia="宋体" w:hAnsi="Times New Roman"/>
          <w:b/>
          <w:bCs/>
          <w:lang w:val="en-US"/>
        </w:rPr>
        <w:t xml:space="preserve">Proposal 10: </w:t>
      </w:r>
      <w:r w:rsidRPr="0008261D">
        <w:rPr>
          <w:rFonts w:ascii="Times New Roman" w:eastAsia="宋体" w:hAnsi="Times New Roman"/>
          <w:b/>
          <w:bCs/>
          <w:lang w:val="en-US"/>
        </w:rPr>
        <w:t>A HSDN-wide indication can be added for HSDN QoE configuration for handover scenarios</w:t>
      </w:r>
      <w:r>
        <w:rPr>
          <w:rFonts w:ascii="Times New Roman" w:eastAsia="宋体" w:hAnsi="Times New Roman"/>
          <w:b/>
          <w:bCs/>
          <w:lang w:val="en-US"/>
        </w:rPr>
        <w:t>.</w:t>
      </w:r>
    </w:p>
    <w:p w14:paraId="3FA45E72" w14:textId="77777777" w:rsidR="007F7143" w:rsidRPr="0008261D" w:rsidRDefault="007F7143" w:rsidP="007F7143">
      <w:pPr>
        <w:rPr>
          <w:rFonts w:ascii="Times New Roman" w:eastAsia="宋体" w:hAnsi="Times New Roman"/>
          <w:b/>
          <w:bCs/>
          <w:lang w:val="en-US"/>
        </w:rPr>
      </w:pPr>
      <w:r>
        <w:rPr>
          <w:rFonts w:ascii="Times New Roman" w:eastAsia="宋体" w:hAnsi="Times New Roman"/>
          <w:b/>
          <w:bCs/>
          <w:lang w:val="en-US"/>
        </w:rPr>
        <w:t>Proposal 11: The non-HSDN cells can release the HSDN-dedicated QoE measurement.</w:t>
      </w:r>
    </w:p>
    <w:p w14:paraId="63E6592E" w14:textId="77777777" w:rsidR="00C922A4" w:rsidRDefault="00C922A4" w:rsidP="00C922A4">
      <w:pPr>
        <w:rPr>
          <w:rFonts w:ascii="Times New Roman" w:eastAsia="等线" w:hAnsi="Times New Roman"/>
          <w:lang w:val="en-US"/>
        </w:rPr>
      </w:pPr>
      <w:r>
        <w:rPr>
          <w:rFonts w:ascii="Times New Roman" w:eastAsia="宋体" w:hAnsi="Times New Roman"/>
          <w:b/>
          <w:bCs/>
          <w:lang w:val="en-US"/>
        </w:rPr>
        <w:lastRenderedPageBreak/>
        <w:t xml:space="preserve">Proposal 12: </w:t>
      </w:r>
      <w:r w:rsidRPr="0012488A">
        <w:rPr>
          <w:rFonts w:ascii="Times New Roman" w:eastAsia="宋体" w:hAnsi="Times New Roman"/>
          <w:b/>
          <w:bCs/>
          <w:lang w:val="en-US"/>
        </w:rPr>
        <w:t>For supporting QMC in high mobility scenarios</w:t>
      </w:r>
      <w:r>
        <w:rPr>
          <w:rFonts w:ascii="Times New Roman" w:eastAsia="宋体" w:hAnsi="Times New Roman"/>
          <w:b/>
          <w:bCs/>
          <w:lang w:val="en-US"/>
        </w:rPr>
        <w:t xml:space="preserve">, RAN3 decides to support HSDN </w:t>
      </w:r>
      <w:r>
        <w:rPr>
          <w:rFonts w:ascii="Times New Roman" w:eastAsia="宋体" w:hAnsi="Times New Roman" w:hint="eastAsia"/>
          <w:b/>
          <w:bCs/>
          <w:lang w:val="en-US"/>
        </w:rPr>
        <w:t>cell</w:t>
      </w:r>
      <w:r>
        <w:rPr>
          <w:rFonts w:ascii="Times New Roman" w:eastAsia="宋体" w:hAnsi="Times New Roman"/>
          <w:b/>
          <w:bCs/>
          <w:lang w:val="en-US"/>
        </w:rPr>
        <w:t xml:space="preserve"> </w:t>
      </w:r>
      <w:r>
        <w:rPr>
          <w:rFonts w:ascii="Times New Roman" w:eastAsia="宋体" w:hAnsi="Times New Roman" w:hint="eastAsia"/>
          <w:b/>
          <w:bCs/>
          <w:lang w:val="en-US"/>
        </w:rPr>
        <w:t>only</w:t>
      </w:r>
      <w:r>
        <w:rPr>
          <w:rFonts w:ascii="Times New Roman" w:eastAsia="宋体" w:hAnsi="Times New Roman"/>
          <w:b/>
          <w:bCs/>
          <w:lang w:val="en-US"/>
        </w:rPr>
        <w:t xml:space="preserve"> </w:t>
      </w:r>
      <w:r>
        <w:rPr>
          <w:rFonts w:ascii="Times New Roman" w:eastAsia="宋体" w:hAnsi="Times New Roman" w:hint="eastAsia"/>
          <w:b/>
          <w:bCs/>
          <w:lang w:val="en-US"/>
        </w:rPr>
        <w:t>scenario</w:t>
      </w:r>
      <w:r>
        <w:rPr>
          <w:rFonts w:ascii="Times New Roman" w:eastAsia="宋体" w:hAnsi="Times New Roman"/>
          <w:b/>
          <w:bCs/>
          <w:lang w:val="en-US"/>
        </w:rPr>
        <w:t>.</w:t>
      </w:r>
    </w:p>
    <w:p w14:paraId="6DC69617" w14:textId="4904EFC9" w:rsidR="00227DE6" w:rsidRPr="00C922A4" w:rsidRDefault="00227DE6" w:rsidP="00227DE6">
      <w:pPr>
        <w:rPr>
          <w:rFonts w:eastAsia="等线"/>
          <w:lang w:val="en-US"/>
        </w:rPr>
      </w:pPr>
    </w:p>
    <w:sectPr w:rsidR="00227DE6" w:rsidRPr="00C922A4">
      <w:headerReference w:type="even" r:id="rId13"/>
      <w:footerReference w:type="default" r:id="rId14"/>
      <w:footnotePr>
        <w:numRestart w:val="eachSect"/>
      </w:footnotePr>
      <w:pgSz w:w="11907" w:h="16840"/>
      <w:pgMar w:top="1134" w:right="1134" w:bottom="1080"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81E5091" w16cex:dateUtc="2023-09-27T14:11:00Z"/>
  <w16cex:commentExtensible w16cex:durableId="5C5E59BF" w16cex:dateUtc="2023-09-27T14:17:00Z"/>
  <w16cex:commentExtensible w16cex:durableId="0AADC989" w16cex:dateUtc="2023-09-27T14:21:00Z"/>
  <w16cex:commentExtensible w16cex:durableId="36F6FCCA" w16cex:dateUtc="2023-09-27T14: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6F5F09" w16cid:durableId="081E5091"/>
  <w16cid:commentId w16cid:paraId="32005830" w16cid:durableId="5C5E59BF"/>
  <w16cid:commentId w16cid:paraId="4E5627ED" w16cid:durableId="0AADC989"/>
  <w16cid:commentId w16cid:paraId="61B6F6BC" w16cid:durableId="36F6FCC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26016F" w14:textId="77777777" w:rsidR="003F47A9" w:rsidRDefault="003F47A9">
      <w:pPr>
        <w:spacing w:after="0"/>
      </w:pPr>
      <w:r>
        <w:separator/>
      </w:r>
    </w:p>
  </w:endnote>
  <w:endnote w:type="continuationSeparator" w:id="0">
    <w:p w14:paraId="15D6B3B0" w14:textId="77777777" w:rsidR="003F47A9" w:rsidRDefault="003F47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3118918"/>
    </w:sdtPr>
    <w:sdtEndPr/>
    <w:sdtContent>
      <w:p w14:paraId="388FA0B8" w14:textId="47DD81C7" w:rsidR="00FC2217" w:rsidRDefault="00FC2217">
        <w:pPr>
          <w:pStyle w:val="ab"/>
        </w:pPr>
        <w:r>
          <w:fldChar w:fldCharType="begin"/>
        </w:r>
        <w:r>
          <w:instrText xml:space="preserve"> PAGE   \* MERGEFORMAT </w:instrText>
        </w:r>
        <w:r>
          <w:fldChar w:fldCharType="separate"/>
        </w:r>
        <w:r w:rsidR="00A5676F">
          <w:rPr>
            <w:noProof/>
          </w:rPr>
          <w:t>5</w:t>
        </w:r>
        <w:r>
          <w:fldChar w:fldCharType="end"/>
        </w:r>
      </w:p>
    </w:sdtContent>
  </w:sdt>
  <w:p w14:paraId="791589FB" w14:textId="77777777" w:rsidR="00FC2217" w:rsidRDefault="00FC2217">
    <w:pPr>
      <w:pStyle w:val="ab"/>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E33EE" w14:textId="77777777" w:rsidR="003F47A9" w:rsidRDefault="003F47A9">
      <w:pPr>
        <w:spacing w:after="0"/>
      </w:pPr>
      <w:r>
        <w:separator/>
      </w:r>
    </w:p>
  </w:footnote>
  <w:footnote w:type="continuationSeparator" w:id="0">
    <w:p w14:paraId="564158A1" w14:textId="77777777" w:rsidR="003F47A9" w:rsidRDefault="003F47A9">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E430D" w14:textId="77777777" w:rsidR="00FC2217" w:rsidRDefault="00FC221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1321182"/>
    <w:multiLevelType w:val="hybridMultilevel"/>
    <w:tmpl w:val="25E890EA"/>
    <w:lvl w:ilvl="0" w:tplc="9A48609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AEE3333"/>
    <w:multiLevelType w:val="multilevel"/>
    <w:tmpl w:val="D8A25182"/>
    <w:lvl w:ilvl="0">
      <w:start w:val="17"/>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78C2089"/>
    <w:multiLevelType w:val="hybridMultilevel"/>
    <w:tmpl w:val="BCF23FA8"/>
    <w:lvl w:ilvl="0" w:tplc="70C22162">
      <w:start w:val="1"/>
      <w:numFmt w:val="bullet"/>
      <w:lvlText w:val=""/>
      <w:lvlJc w:val="left"/>
      <w:pPr>
        <w:tabs>
          <w:tab w:val="num" w:pos="720"/>
        </w:tabs>
        <w:ind w:left="720" w:hanging="360"/>
      </w:pPr>
      <w:rPr>
        <w:rFonts w:ascii="Wingdings" w:hAnsi="Wingdings" w:hint="default"/>
      </w:rPr>
    </w:lvl>
    <w:lvl w:ilvl="1" w:tplc="02803D36" w:tentative="1">
      <w:start w:val="1"/>
      <w:numFmt w:val="bullet"/>
      <w:lvlText w:val=""/>
      <w:lvlJc w:val="left"/>
      <w:pPr>
        <w:tabs>
          <w:tab w:val="num" w:pos="1440"/>
        </w:tabs>
        <w:ind w:left="1440" w:hanging="360"/>
      </w:pPr>
      <w:rPr>
        <w:rFonts w:ascii="Wingdings" w:hAnsi="Wingdings" w:hint="default"/>
      </w:rPr>
    </w:lvl>
    <w:lvl w:ilvl="2" w:tplc="A6884288" w:tentative="1">
      <w:start w:val="1"/>
      <w:numFmt w:val="bullet"/>
      <w:lvlText w:val=""/>
      <w:lvlJc w:val="left"/>
      <w:pPr>
        <w:tabs>
          <w:tab w:val="num" w:pos="2160"/>
        </w:tabs>
        <w:ind w:left="2160" w:hanging="360"/>
      </w:pPr>
      <w:rPr>
        <w:rFonts w:ascii="Wingdings" w:hAnsi="Wingdings" w:hint="default"/>
      </w:rPr>
    </w:lvl>
    <w:lvl w:ilvl="3" w:tplc="C908C44C" w:tentative="1">
      <w:start w:val="1"/>
      <w:numFmt w:val="bullet"/>
      <w:lvlText w:val=""/>
      <w:lvlJc w:val="left"/>
      <w:pPr>
        <w:tabs>
          <w:tab w:val="num" w:pos="2880"/>
        </w:tabs>
        <w:ind w:left="2880" w:hanging="360"/>
      </w:pPr>
      <w:rPr>
        <w:rFonts w:ascii="Wingdings" w:hAnsi="Wingdings" w:hint="default"/>
      </w:rPr>
    </w:lvl>
    <w:lvl w:ilvl="4" w:tplc="4C222F8C" w:tentative="1">
      <w:start w:val="1"/>
      <w:numFmt w:val="bullet"/>
      <w:lvlText w:val=""/>
      <w:lvlJc w:val="left"/>
      <w:pPr>
        <w:tabs>
          <w:tab w:val="num" w:pos="3600"/>
        </w:tabs>
        <w:ind w:left="3600" w:hanging="360"/>
      </w:pPr>
      <w:rPr>
        <w:rFonts w:ascii="Wingdings" w:hAnsi="Wingdings" w:hint="default"/>
      </w:rPr>
    </w:lvl>
    <w:lvl w:ilvl="5" w:tplc="60E8149E" w:tentative="1">
      <w:start w:val="1"/>
      <w:numFmt w:val="bullet"/>
      <w:lvlText w:val=""/>
      <w:lvlJc w:val="left"/>
      <w:pPr>
        <w:tabs>
          <w:tab w:val="num" w:pos="4320"/>
        </w:tabs>
        <w:ind w:left="4320" w:hanging="360"/>
      </w:pPr>
      <w:rPr>
        <w:rFonts w:ascii="Wingdings" w:hAnsi="Wingdings" w:hint="default"/>
      </w:rPr>
    </w:lvl>
    <w:lvl w:ilvl="6" w:tplc="56B03292" w:tentative="1">
      <w:start w:val="1"/>
      <w:numFmt w:val="bullet"/>
      <w:lvlText w:val=""/>
      <w:lvlJc w:val="left"/>
      <w:pPr>
        <w:tabs>
          <w:tab w:val="num" w:pos="5040"/>
        </w:tabs>
        <w:ind w:left="5040" w:hanging="360"/>
      </w:pPr>
      <w:rPr>
        <w:rFonts w:ascii="Wingdings" w:hAnsi="Wingdings" w:hint="default"/>
      </w:rPr>
    </w:lvl>
    <w:lvl w:ilvl="7" w:tplc="5BF6463A" w:tentative="1">
      <w:start w:val="1"/>
      <w:numFmt w:val="bullet"/>
      <w:lvlText w:val=""/>
      <w:lvlJc w:val="left"/>
      <w:pPr>
        <w:tabs>
          <w:tab w:val="num" w:pos="5760"/>
        </w:tabs>
        <w:ind w:left="5760" w:hanging="360"/>
      </w:pPr>
      <w:rPr>
        <w:rFonts w:ascii="Wingdings" w:hAnsi="Wingdings" w:hint="default"/>
      </w:rPr>
    </w:lvl>
    <w:lvl w:ilvl="8" w:tplc="A8E6304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6FE465E"/>
    <w:multiLevelType w:val="hybridMultilevel"/>
    <w:tmpl w:val="94002E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6"/>
  </w:num>
  <w:num w:numId="5">
    <w:abstractNumId w:val="1"/>
  </w:num>
  <w:num w:numId="6">
    <w:abstractNumId w:val="5"/>
  </w:num>
  <w:num w:numId="7">
    <w:abstractNumId w:val="2"/>
  </w:num>
  <w:num w:numId="8">
    <w:abstractNumId w:val="8"/>
  </w:num>
  <w:num w:numId="9">
    <w:abstractNumId w:val="9"/>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defaultTabStop w:val="130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7D9"/>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3B0"/>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072"/>
    <w:rsid w:val="00031799"/>
    <w:rsid w:val="00031859"/>
    <w:rsid w:val="00032F32"/>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933"/>
    <w:rsid w:val="00042A0A"/>
    <w:rsid w:val="0004340F"/>
    <w:rsid w:val="00043493"/>
    <w:rsid w:val="00043B53"/>
    <w:rsid w:val="000445C8"/>
    <w:rsid w:val="00045276"/>
    <w:rsid w:val="00045336"/>
    <w:rsid w:val="00045494"/>
    <w:rsid w:val="0004603B"/>
    <w:rsid w:val="00046A55"/>
    <w:rsid w:val="00046B26"/>
    <w:rsid w:val="00046FD2"/>
    <w:rsid w:val="000474A3"/>
    <w:rsid w:val="000478D4"/>
    <w:rsid w:val="00050158"/>
    <w:rsid w:val="000507EA"/>
    <w:rsid w:val="00050DAE"/>
    <w:rsid w:val="00050EC6"/>
    <w:rsid w:val="000513DB"/>
    <w:rsid w:val="00051400"/>
    <w:rsid w:val="0005150F"/>
    <w:rsid w:val="00051974"/>
    <w:rsid w:val="00051E63"/>
    <w:rsid w:val="00051F20"/>
    <w:rsid w:val="00052188"/>
    <w:rsid w:val="000524AE"/>
    <w:rsid w:val="00052983"/>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2FB"/>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226"/>
    <w:rsid w:val="000825DE"/>
    <w:rsid w:val="0008261D"/>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3D40"/>
    <w:rsid w:val="00094313"/>
    <w:rsid w:val="000950A2"/>
    <w:rsid w:val="000950EA"/>
    <w:rsid w:val="00095F23"/>
    <w:rsid w:val="00096353"/>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389"/>
    <w:rsid w:val="000B1AFB"/>
    <w:rsid w:val="000B1B37"/>
    <w:rsid w:val="000B1D81"/>
    <w:rsid w:val="000B2481"/>
    <w:rsid w:val="000B2754"/>
    <w:rsid w:val="000B311C"/>
    <w:rsid w:val="000B3B91"/>
    <w:rsid w:val="000B3F36"/>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5983"/>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467"/>
    <w:rsid w:val="001146B3"/>
    <w:rsid w:val="00114ABC"/>
    <w:rsid w:val="00114F3B"/>
    <w:rsid w:val="0011520C"/>
    <w:rsid w:val="0011538F"/>
    <w:rsid w:val="00115B4A"/>
    <w:rsid w:val="00115DD2"/>
    <w:rsid w:val="0011766A"/>
    <w:rsid w:val="00117B72"/>
    <w:rsid w:val="00117C9D"/>
    <w:rsid w:val="00120771"/>
    <w:rsid w:val="001209C8"/>
    <w:rsid w:val="00120D60"/>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85E"/>
    <w:rsid w:val="00140F34"/>
    <w:rsid w:val="00141DC9"/>
    <w:rsid w:val="001427F8"/>
    <w:rsid w:val="00142F76"/>
    <w:rsid w:val="001434EC"/>
    <w:rsid w:val="00143937"/>
    <w:rsid w:val="00143AE7"/>
    <w:rsid w:val="00144702"/>
    <w:rsid w:val="001447A5"/>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5B6"/>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6DB"/>
    <w:rsid w:val="00174BE1"/>
    <w:rsid w:val="00175027"/>
    <w:rsid w:val="001750B8"/>
    <w:rsid w:val="00175427"/>
    <w:rsid w:val="00175EDA"/>
    <w:rsid w:val="00176CBC"/>
    <w:rsid w:val="00176F48"/>
    <w:rsid w:val="00176FB7"/>
    <w:rsid w:val="00180608"/>
    <w:rsid w:val="001810F8"/>
    <w:rsid w:val="00181488"/>
    <w:rsid w:val="00181CAA"/>
    <w:rsid w:val="00181CDB"/>
    <w:rsid w:val="00181D6A"/>
    <w:rsid w:val="00182088"/>
    <w:rsid w:val="0018245F"/>
    <w:rsid w:val="00182DE4"/>
    <w:rsid w:val="001832F7"/>
    <w:rsid w:val="00183D68"/>
    <w:rsid w:val="00183E87"/>
    <w:rsid w:val="00183F0E"/>
    <w:rsid w:val="0018415D"/>
    <w:rsid w:val="00184878"/>
    <w:rsid w:val="00184EB1"/>
    <w:rsid w:val="00186FDF"/>
    <w:rsid w:val="00187A5B"/>
    <w:rsid w:val="0019015D"/>
    <w:rsid w:val="00190542"/>
    <w:rsid w:val="00190747"/>
    <w:rsid w:val="00190C01"/>
    <w:rsid w:val="00190D21"/>
    <w:rsid w:val="00191653"/>
    <w:rsid w:val="00191B47"/>
    <w:rsid w:val="00191EAA"/>
    <w:rsid w:val="00191F65"/>
    <w:rsid w:val="00192091"/>
    <w:rsid w:val="0019236F"/>
    <w:rsid w:val="00192D78"/>
    <w:rsid w:val="00193674"/>
    <w:rsid w:val="00193A31"/>
    <w:rsid w:val="00194961"/>
    <w:rsid w:val="00195473"/>
    <w:rsid w:val="00195BC5"/>
    <w:rsid w:val="00195E06"/>
    <w:rsid w:val="00195E31"/>
    <w:rsid w:val="00195E56"/>
    <w:rsid w:val="00196276"/>
    <w:rsid w:val="0019647D"/>
    <w:rsid w:val="001968A1"/>
    <w:rsid w:val="00196920"/>
    <w:rsid w:val="00196D2F"/>
    <w:rsid w:val="00197560"/>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A759B"/>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4A5"/>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959"/>
    <w:rsid w:val="001E0C94"/>
    <w:rsid w:val="001E1886"/>
    <w:rsid w:val="001E2185"/>
    <w:rsid w:val="001E2D6A"/>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2E32"/>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CAB"/>
    <w:rsid w:val="00215E31"/>
    <w:rsid w:val="00216373"/>
    <w:rsid w:val="0021645B"/>
    <w:rsid w:val="002166BB"/>
    <w:rsid w:val="002167B0"/>
    <w:rsid w:val="0021686A"/>
    <w:rsid w:val="002208B9"/>
    <w:rsid w:val="002210F9"/>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27DE6"/>
    <w:rsid w:val="00230204"/>
    <w:rsid w:val="00230AB6"/>
    <w:rsid w:val="002317F8"/>
    <w:rsid w:val="00231AA1"/>
    <w:rsid w:val="00232184"/>
    <w:rsid w:val="0023238C"/>
    <w:rsid w:val="00232BD5"/>
    <w:rsid w:val="00232F94"/>
    <w:rsid w:val="002331FC"/>
    <w:rsid w:val="00233BAC"/>
    <w:rsid w:val="00233C98"/>
    <w:rsid w:val="00233EDA"/>
    <w:rsid w:val="00234221"/>
    <w:rsid w:val="002343EA"/>
    <w:rsid w:val="00234456"/>
    <w:rsid w:val="00234C25"/>
    <w:rsid w:val="002352BC"/>
    <w:rsid w:val="00235CAE"/>
    <w:rsid w:val="0023604E"/>
    <w:rsid w:val="002368DD"/>
    <w:rsid w:val="00236BFE"/>
    <w:rsid w:val="00236EC8"/>
    <w:rsid w:val="002370D5"/>
    <w:rsid w:val="002370EA"/>
    <w:rsid w:val="0024074B"/>
    <w:rsid w:val="00240D3C"/>
    <w:rsid w:val="00240F65"/>
    <w:rsid w:val="00243476"/>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17"/>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355"/>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144"/>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9BC"/>
    <w:rsid w:val="00293D4F"/>
    <w:rsid w:val="00293F5B"/>
    <w:rsid w:val="002947EC"/>
    <w:rsid w:val="002960CF"/>
    <w:rsid w:val="002966B8"/>
    <w:rsid w:val="00296DEC"/>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A8"/>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C6CB8"/>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D10"/>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0A2"/>
    <w:rsid w:val="002F4529"/>
    <w:rsid w:val="002F45C3"/>
    <w:rsid w:val="002F49C7"/>
    <w:rsid w:val="002F4DDC"/>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7AA"/>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0AA"/>
    <w:rsid w:val="00331142"/>
    <w:rsid w:val="00331533"/>
    <w:rsid w:val="003315CA"/>
    <w:rsid w:val="0033160C"/>
    <w:rsid w:val="003317C4"/>
    <w:rsid w:val="00331D8A"/>
    <w:rsid w:val="00332209"/>
    <w:rsid w:val="00333056"/>
    <w:rsid w:val="003331CF"/>
    <w:rsid w:val="00333998"/>
    <w:rsid w:val="00333A44"/>
    <w:rsid w:val="003348E8"/>
    <w:rsid w:val="00334956"/>
    <w:rsid w:val="00334A39"/>
    <w:rsid w:val="00335EDA"/>
    <w:rsid w:val="00335EE9"/>
    <w:rsid w:val="00336E0F"/>
    <w:rsid w:val="00337298"/>
    <w:rsid w:val="0033773F"/>
    <w:rsid w:val="00340AEC"/>
    <w:rsid w:val="00341B51"/>
    <w:rsid w:val="003425D3"/>
    <w:rsid w:val="00342F18"/>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677FB"/>
    <w:rsid w:val="00370528"/>
    <w:rsid w:val="00370FA7"/>
    <w:rsid w:val="00371727"/>
    <w:rsid w:val="0037329E"/>
    <w:rsid w:val="00373892"/>
    <w:rsid w:val="0037398A"/>
    <w:rsid w:val="003751AE"/>
    <w:rsid w:val="00375E88"/>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624"/>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B62CA"/>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01C"/>
    <w:rsid w:val="003D25C1"/>
    <w:rsid w:val="003D278F"/>
    <w:rsid w:val="003D32D0"/>
    <w:rsid w:val="003D3A28"/>
    <w:rsid w:val="003D41FE"/>
    <w:rsid w:val="003D4BD0"/>
    <w:rsid w:val="003D66F6"/>
    <w:rsid w:val="003D6987"/>
    <w:rsid w:val="003D6DF8"/>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3E96"/>
    <w:rsid w:val="003F455F"/>
    <w:rsid w:val="003F46D5"/>
    <w:rsid w:val="003F47A9"/>
    <w:rsid w:val="003F4A7A"/>
    <w:rsid w:val="003F4EF1"/>
    <w:rsid w:val="003F5C28"/>
    <w:rsid w:val="003F5F2E"/>
    <w:rsid w:val="003F78A0"/>
    <w:rsid w:val="003F7B52"/>
    <w:rsid w:val="00400305"/>
    <w:rsid w:val="00400444"/>
    <w:rsid w:val="0040134A"/>
    <w:rsid w:val="00401A79"/>
    <w:rsid w:val="00402C56"/>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4A5"/>
    <w:rsid w:val="004237C6"/>
    <w:rsid w:val="00423852"/>
    <w:rsid w:val="00423A00"/>
    <w:rsid w:val="00423FDC"/>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0DB"/>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529"/>
    <w:rsid w:val="00464EA6"/>
    <w:rsid w:val="00465737"/>
    <w:rsid w:val="00465A03"/>
    <w:rsid w:val="00465AF4"/>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1D3"/>
    <w:rsid w:val="00485966"/>
    <w:rsid w:val="00486242"/>
    <w:rsid w:val="004868A0"/>
    <w:rsid w:val="0048697B"/>
    <w:rsid w:val="00486EB6"/>
    <w:rsid w:val="00487261"/>
    <w:rsid w:val="004874F3"/>
    <w:rsid w:val="00487BD6"/>
    <w:rsid w:val="00487BF4"/>
    <w:rsid w:val="00487ECF"/>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C52"/>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C91"/>
    <w:rsid w:val="004A4E2C"/>
    <w:rsid w:val="004A4E98"/>
    <w:rsid w:val="004A4EDF"/>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3B2D"/>
    <w:rsid w:val="004B542F"/>
    <w:rsid w:val="004B5571"/>
    <w:rsid w:val="004B5A42"/>
    <w:rsid w:val="004B7D6C"/>
    <w:rsid w:val="004B7F06"/>
    <w:rsid w:val="004B7FC6"/>
    <w:rsid w:val="004C156E"/>
    <w:rsid w:val="004C1997"/>
    <w:rsid w:val="004C1C70"/>
    <w:rsid w:val="004C1DC9"/>
    <w:rsid w:val="004C2B12"/>
    <w:rsid w:val="004C430D"/>
    <w:rsid w:val="004C5011"/>
    <w:rsid w:val="004C51D3"/>
    <w:rsid w:val="004C61AE"/>
    <w:rsid w:val="004C6D63"/>
    <w:rsid w:val="004C7A4A"/>
    <w:rsid w:val="004D1300"/>
    <w:rsid w:val="004D15EB"/>
    <w:rsid w:val="004D1952"/>
    <w:rsid w:val="004D25E9"/>
    <w:rsid w:val="004D2A98"/>
    <w:rsid w:val="004D2D4E"/>
    <w:rsid w:val="004D2E00"/>
    <w:rsid w:val="004D569D"/>
    <w:rsid w:val="004D5AC6"/>
    <w:rsid w:val="004D5C50"/>
    <w:rsid w:val="004D6117"/>
    <w:rsid w:val="004D66BD"/>
    <w:rsid w:val="004D6A3E"/>
    <w:rsid w:val="004D6E1F"/>
    <w:rsid w:val="004D752B"/>
    <w:rsid w:val="004D79D5"/>
    <w:rsid w:val="004D7A6C"/>
    <w:rsid w:val="004E01CD"/>
    <w:rsid w:val="004E06D2"/>
    <w:rsid w:val="004E0723"/>
    <w:rsid w:val="004E072E"/>
    <w:rsid w:val="004E0E34"/>
    <w:rsid w:val="004E1B2A"/>
    <w:rsid w:val="004E1DE2"/>
    <w:rsid w:val="004E258B"/>
    <w:rsid w:val="004E278B"/>
    <w:rsid w:val="004E3E1B"/>
    <w:rsid w:val="004E48FE"/>
    <w:rsid w:val="004E4FB4"/>
    <w:rsid w:val="004E5243"/>
    <w:rsid w:val="004E5619"/>
    <w:rsid w:val="004E5E6C"/>
    <w:rsid w:val="004E62A9"/>
    <w:rsid w:val="004E6709"/>
    <w:rsid w:val="004E6B7C"/>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472"/>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EBE"/>
    <w:rsid w:val="00524F25"/>
    <w:rsid w:val="00525205"/>
    <w:rsid w:val="00525233"/>
    <w:rsid w:val="0052524B"/>
    <w:rsid w:val="00525276"/>
    <w:rsid w:val="00525B5B"/>
    <w:rsid w:val="00525D51"/>
    <w:rsid w:val="0052717F"/>
    <w:rsid w:val="00530A90"/>
    <w:rsid w:val="0053100B"/>
    <w:rsid w:val="005319B7"/>
    <w:rsid w:val="00531FBF"/>
    <w:rsid w:val="00531FCE"/>
    <w:rsid w:val="005325BB"/>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ACC"/>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105C"/>
    <w:rsid w:val="00562487"/>
    <w:rsid w:val="00562826"/>
    <w:rsid w:val="00562C00"/>
    <w:rsid w:val="00562DA4"/>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0A6B"/>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B8A"/>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6968"/>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29BF"/>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325"/>
    <w:rsid w:val="00652628"/>
    <w:rsid w:val="006530F6"/>
    <w:rsid w:val="00653214"/>
    <w:rsid w:val="006532A6"/>
    <w:rsid w:val="00653439"/>
    <w:rsid w:val="00653622"/>
    <w:rsid w:val="00653734"/>
    <w:rsid w:val="00653FF7"/>
    <w:rsid w:val="0065429D"/>
    <w:rsid w:val="00657133"/>
    <w:rsid w:val="0066043C"/>
    <w:rsid w:val="00660760"/>
    <w:rsid w:val="00660C03"/>
    <w:rsid w:val="006611C4"/>
    <w:rsid w:val="00661DA3"/>
    <w:rsid w:val="00661F63"/>
    <w:rsid w:val="0066287E"/>
    <w:rsid w:val="0066304E"/>
    <w:rsid w:val="00663962"/>
    <w:rsid w:val="00663E43"/>
    <w:rsid w:val="006652BC"/>
    <w:rsid w:val="006655E7"/>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46A8"/>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705"/>
    <w:rsid w:val="006A694D"/>
    <w:rsid w:val="006A7AE6"/>
    <w:rsid w:val="006B01FF"/>
    <w:rsid w:val="006B03C6"/>
    <w:rsid w:val="006B1574"/>
    <w:rsid w:val="006B1EB5"/>
    <w:rsid w:val="006B22AB"/>
    <w:rsid w:val="006B3A09"/>
    <w:rsid w:val="006B4F12"/>
    <w:rsid w:val="006B5AC1"/>
    <w:rsid w:val="006B63EE"/>
    <w:rsid w:val="006B6F16"/>
    <w:rsid w:val="006B718E"/>
    <w:rsid w:val="006B734C"/>
    <w:rsid w:val="006B7A65"/>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0AD4"/>
    <w:rsid w:val="006E104E"/>
    <w:rsid w:val="006E189E"/>
    <w:rsid w:val="006E19F7"/>
    <w:rsid w:val="006E1BE3"/>
    <w:rsid w:val="006E241F"/>
    <w:rsid w:val="006E3230"/>
    <w:rsid w:val="006E4FAA"/>
    <w:rsid w:val="006E5101"/>
    <w:rsid w:val="006E526C"/>
    <w:rsid w:val="006E5290"/>
    <w:rsid w:val="006E56F4"/>
    <w:rsid w:val="006E5775"/>
    <w:rsid w:val="006E63D4"/>
    <w:rsid w:val="006E6E8B"/>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5B9F"/>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54C1"/>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A74"/>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22D"/>
    <w:rsid w:val="00772316"/>
    <w:rsid w:val="00772339"/>
    <w:rsid w:val="007732EE"/>
    <w:rsid w:val="007739CD"/>
    <w:rsid w:val="00773DAF"/>
    <w:rsid w:val="00774129"/>
    <w:rsid w:val="007743F2"/>
    <w:rsid w:val="00775154"/>
    <w:rsid w:val="00775ACA"/>
    <w:rsid w:val="00776937"/>
    <w:rsid w:val="00776CDB"/>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490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3EB"/>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750"/>
    <w:rsid w:val="007A6882"/>
    <w:rsid w:val="007A6A80"/>
    <w:rsid w:val="007A6B1C"/>
    <w:rsid w:val="007A6F9A"/>
    <w:rsid w:val="007A7225"/>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BA"/>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4F25"/>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143"/>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237"/>
    <w:rsid w:val="008133A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1B16"/>
    <w:rsid w:val="008429A7"/>
    <w:rsid w:val="0084312E"/>
    <w:rsid w:val="00843552"/>
    <w:rsid w:val="008436C5"/>
    <w:rsid w:val="008443D9"/>
    <w:rsid w:val="0084493A"/>
    <w:rsid w:val="00844E8F"/>
    <w:rsid w:val="00845137"/>
    <w:rsid w:val="008451A1"/>
    <w:rsid w:val="00845A2E"/>
    <w:rsid w:val="008462EF"/>
    <w:rsid w:val="00847A76"/>
    <w:rsid w:val="00847AF2"/>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5BF"/>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4F"/>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83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395"/>
    <w:rsid w:val="008A5688"/>
    <w:rsid w:val="008A597C"/>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B798D"/>
    <w:rsid w:val="008C0596"/>
    <w:rsid w:val="008C11C1"/>
    <w:rsid w:val="008C185E"/>
    <w:rsid w:val="008C1BF1"/>
    <w:rsid w:val="008C1F5F"/>
    <w:rsid w:val="008C2094"/>
    <w:rsid w:val="008C2651"/>
    <w:rsid w:val="008C282B"/>
    <w:rsid w:val="008C3364"/>
    <w:rsid w:val="008C344A"/>
    <w:rsid w:val="008C383E"/>
    <w:rsid w:val="008C3938"/>
    <w:rsid w:val="008C3B61"/>
    <w:rsid w:val="008C3E0B"/>
    <w:rsid w:val="008C3FAA"/>
    <w:rsid w:val="008C3FBF"/>
    <w:rsid w:val="008C4E59"/>
    <w:rsid w:val="008C53D7"/>
    <w:rsid w:val="008C54C1"/>
    <w:rsid w:val="008C55F5"/>
    <w:rsid w:val="008C5DE3"/>
    <w:rsid w:val="008C6A0A"/>
    <w:rsid w:val="008C7439"/>
    <w:rsid w:val="008C7C91"/>
    <w:rsid w:val="008D013F"/>
    <w:rsid w:val="008D014D"/>
    <w:rsid w:val="008D0438"/>
    <w:rsid w:val="008D0819"/>
    <w:rsid w:val="008D0EBE"/>
    <w:rsid w:val="008D1D81"/>
    <w:rsid w:val="008D26AB"/>
    <w:rsid w:val="008D2A47"/>
    <w:rsid w:val="008D2C7F"/>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1F89"/>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288E"/>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497"/>
    <w:rsid w:val="00902A82"/>
    <w:rsid w:val="00904069"/>
    <w:rsid w:val="00904896"/>
    <w:rsid w:val="00904C8E"/>
    <w:rsid w:val="0090565D"/>
    <w:rsid w:val="00905B94"/>
    <w:rsid w:val="0090609C"/>
    <w:rsid w:val="00906684"/>
    <w:rsid w:val="009066DC"/>
    <w:rsid w:val="0090759F"/>
    <w:rsid w:val="009077CB"/>
    <w:rsid w:val="00907D13"/>
    <w:rsid w:val="009122AC"/>
    <w:rsid w:val="00913B13"/>
    <w:rsid w:val="009143F4"/>
    <w:rsid w:val="0091448B"/>
    <w:rsid w:val="009146F2"/>
    <w:rsid w:val="0091492C"/>
    <w:rsid w:val="00915410"/>
    <w:rsid w:val="00915982"/>
    <w:rsid w:val="00915B1A"/>
    <w:rsid w:val="009163C2"/>
    <w:rsid w:val="0091658A"/>
    <w:rsid w:val="00916783"/>
    <w:rsid w:val="009173E3"/>
    <w:rsid w:val="00917952"/>
    <w:rsid w:val="00920B63"/>
    <w:rsid w:val="009216B5"/>
    <w:rsid w:val="00921A2F"/>
    <w:rsid w:val="0092220C"/>
    <w:rsid w:val="00922A31"/>
    <w:rsid w:val="009230FA"/>
    <w:rsid w:val="00923829"/>
    <w:rsid w:val="0092387B"/>
    <w:rsid w:val="00923AD0"/>
    <w:rsid w:val="00923C00"/>
    <w:rsid w:val="00923D0F"/>
    <w:rsid w:val="00924DB5"/>
    <w:rsid w:val="00925497"/>
    <w:rsid w:val="009254B7"/>
    <w:rsid w:val="0092552A"/>
    <w:rsid w:val="009259AD"/>
    <w:rsid w:val="0092675C"/>
    <w:rsid w:val="00926817"/>
    <w:rsid w:val="00926EC6"/>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939"/>
    <w:rsid w:val="00941AAF"/>
    <w:rsid w:val="00941CE9"/>
    <w:rsid w:val="00943641"/>
    <w:rsid w:val="00943893"/>
    <w:rsid w:val="009448CD"/>
    <w:rsid w:val="00945120"/>
    <w:rsid w:val="009451EC"/>
    <w:rsid w:val="00945FC3"/>
    <w:rsid w:val="00946CDC"/>
    <w:rsid w:val="00946D12"/>
    <w:rsid w:val="0094715A"/>
    <w:rsid w:val="009502ED"/>
    <w:rsid w:val="00950582"/>
    <w:rsid w:val="00950DD5"/>
    <w:rsid w:val="009512BE"/>
    <w:rsid w:val="00951662"/>
    <w:rsid w:val="00951963"/>
    <w:rsid w:val="00951C49"/>
    <w:rsid w:val="00952A20"/>
    <w:rsid w:val="00952E52"/>
    <w:rsid w:val="0095314F"/>
    <w:rsid w:val="009547E8"/>
    <w:rsid w:val="009554C4"/>
    <w:rsid w:val="00955805"/>
    <w:rsid w:val="00955806"/>
    <w:rsid w:val="009559BF"/>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3763"/>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BD0"/>
    <w:rsid w:val="00976FD4"/>
    <w:rsid w:val="00977292"/>
    <w:rsid w:val="009775FE"/>
    <w:rsid w:val="00977985"/>
    <w:rsid w:val="00977C35"/>
    <w:rsid w:val="00977C4A"/>
    <w:rsid w:val="00981AE1"/>
    <w:rsid w:val="00982DB8"/>
    <w:rsid w:val="0098346E"/>
    <w:rsid w:val="009834DD"/>
    <w:rsid w:val="009839B3"/>
    <w:rsid w:val="00983CBC"/>
    <w:rsid w:val="00983D32"/>
    <w:rsid w:val="00983F85"/>
    <w:rsid w:val="00984620"/>
    <w:rsid w:val="009857F1"/>
    <w:rsid w:val="0098597F"/>
    <w:rsid w:val="00986934"/>
    <w:rsid w:val="00986A55"/>
    <w:rsid w:val="00986CEB"/>
    <w:rsid w:val="00986E92"/>
    <w:rsid w:val="009879B0"/>
    <w:rsid w:val="00987EAE"/>
    <w:rsid w:val="009900A9"/>
    <w:rsid w:val="0099087B"/>
    <w:rsid w:val="00990A00"/>
    <w:rsid w:val="0099175E"/>
    <w:rsid w:val="0099182E"/>
    <w:rsid w:val="009918BE"/>
    <w:rsid w:val="009918EA"/>
    <w:rsid w:val="00992A12"/>
    <w:rsid w:val="00992CE2"/>
    <w:rsid w:val="0099300E"/>
    <w:rsid w:val="00993172"/>
    <w:rsid w:val="0099348D"/>
    <w:rsid w:val="009939BF"/>
    <w:rsid w:val="00994201"/>
    <w:rsid w:val="0099475B"/>
    <w:rsid w:val="00995CB4"/>
    <w:rsid w:val="009967C6"/>
    <w:rsid w:val="00996C89"/>
    <w:rsid w:val="00996F2A"/>
    <w:rsid w:val="00997C89"/>
    <w:rsid w:val="00997DE9"/>
    <w:rsid w:val="009A014C"/>
    <w:rsid w:val="009A0BDE"/>
    <w:rsid w:val="009A0C41"/>
    <w:rsid w:val="009A1822"/>
    <w:rsid w:val="009A2BDF"/>
    <w:rsid w:val="009A33F9"/>
    <w:rsid w:val="009A3AED"/>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4D94"/>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352"/>
    <w:rsid w:val="009C167A"/>
    <w:rsid w:val="009C24BA"/>
    <w:rsid w:val="009C3084"/>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0663"/>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1D1"/>
    <w:rsid w:val="009F15B2"/>
    <w:rsid w:val="009F17AF"/>
    <w:rsid w:val="009F1BB5"/>
    <w:rsid w:val="009F1BD3"/>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487F"/>
    <w:rsid w:val="00A14FC4"/>
    <w:rsid w:val="00A1503F"/>
    <w:rsid w:val="00A15456"/>
    <w:rsid w:val="00A15FC1"/>
    <w:rsid w:val="00A16577"/>
    <w:rsid w:val="00A16911"/>
    <w:rsid w:val="00A169A2"/>
    <w:rsid w:val="00A16F7B"/>
    <w:rsid w:val="00A17017"/>
    <w:rsid w:val="00A17B12"/>
    <w:rsid w:val="00A17BFB"/>
    <w:rsid w:val="00A20561"/>
    <w:rsid w:val="00A2154A"/>
    <w:rsid w:val="00A21EC1"/>
    <w:rsid w:val="00A22ADC"/>
    <w:rsid w:val="00A239E8"/>
    <w:rsid w:val="00A23A11"/>
    <w:rsid w:val="00A23B37"/>
    <w:rsid w:val="00A246CC"/>
    <w:rsid w:val="00A24BDA"/>
    <w:rsid w:val="00A24C57"/>
    <w:rsid w:val="00A2508F"/>
    <w:rsid w:val="00A250A0"/>
    <w:rsid w:val="00A26526"/>
    <w:rsid w:val="00A26BD2"/>
    <w:rsid w:val="00A277EE"/>
    <w:rsid w:val="00A3060E"/>
    <w:rsid w:val="00A320CA"/>
    <w:rsid w:val="00A3231D"/>
    <w:rsid w:val="00A33411"/>
    <w:rsid w:val="00A33D50"/>
    <w:rsid w:val="00A344EE"/>
    <w:rsid w:val="00A346ED"/>
    <w:rsid w:val="00A34763"/>
    <w:rsid w:val="00A349AB"/>
    <w:rsid w:val="00A34B50"/>
    <w:rsid w:val="00A34DE0"/>
    <w:rsid w:val="00A35329"/>
    <w:rsid w:val="00A354AC"/>
    <w:rsid w:val="00A358AC"/>
    <w:rsid w:val="00A373CC"/>
    <w:rsid w:val="00A37DA0"/>
    <w:rsid w:val="00A4014E"/>
    <w:rsid w:val="00A4033D"/>
    <w:rsid w:val="00A405E5"/>
    <w:rsid w:val="00A41253"/>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2AAC"/>
    <w:rsid w:val="00A5359F"/>
    <w:rsid w:val="00A535E1"/>
    <w:rsid w:val="00A537EE"/>
    <w:rsid w:val="00A53B97"/>
    <w:rsid w:val="00A54421"/>
    <w:rsid w:val="00A5451C"/>
    <w:rsid w:val="00A54656"/>
    <w:rsid w:val="00A55546"/>
    <w:rsid w:val="00A561FB"/>
    <w:rsid w:val="00A563DC"/>
    <w:rsid w:val="00A5676F"/>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87A4A"/>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6AD0"/>
    <w:rsid w:val="00A9705E"/>
    <w:rsid w:val="00A973F0"/>
    <w:rsid w:val="00A977AC"/>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A7CD5"/>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CEC"/>
    <w:rsid w:val="00AC0DF0"/>
    <w:rsid w:val="00AC1033"/>
    <w:rsid w:val="00AC1853"/>
    <w:rsid w:val="00AC332C"/>
    <w:rsid w:val="00AC3F3E"/>
    <w:rsid w:val="00AC4E4A"/>
    <w:rsid w:val="00AC568E"/>
    <w:rsid w:val="00AC5D6C"/>
    <w:rsid w:val="00AC6691"/>
    <w:rsid w:val="00AC686D"/>
    <w:rsid w:val="00AC77A7"/>
    <w:rsid w:val="00AC7AD2"/>
    <w:rsid w:val="00AC7F42"/>
    <w:rsid w:val="00AC7FED"/>
    <w:rsid w:val="00AD1127"/>
    <w:rsid w:val="00AD1632"/>
    <w:rsid w:val="00AD183F"/>
    <w:rsid w:val="00AD257A"/>
    <w:rsid w:val="00AD3035"/>
    <w:rsid w:val="00AD382A"/>
    <w:rsid w:val="00AD3DC8"/>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2EC6"/>
    <w:rsid w:val="00AE37D8"/>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C6E"/>
    <w:rsid w:val="00AF4EFD"/>
    <w:rsid w:val="00AF4F1E"/>
    <w:rsid w:val="00AF4FB5"/>
    <w:rsid w:val="00AF55F5"/>
    <w:rsid w:val="00AF5D96"/>
    <w:rsid w:val="00AF7367"/>
    <w:rsid w:val="00AF73B3"/>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245"/>
    <w:rsid w:val="00B11D8D"/>
    <w:rsid w:val="00B11FD2"/>
    <w:rsid w:val="00B12B96"/>
    <w:rsid w:val="00B12C99"/>
    <w:rsid w:val="00B13593"/>
    <w:rsid w:val="00B14DEF"/>
    <w:rsid w:val="00B14F57"/>
    <w:rsid w:val="00B14F6A"/>
    <w:rsid w:val="00B15298"/>
    <w:rsid w:val="00B1600B"/>
    <w:rsid w:val="00B16177"/>
    <w:rsid w:val="00B161F1"/>
    <w:rsid w:val="00B1634B"/>
    <w:rsid w:val="00B16E3C"/>
    <w:rsid w:val="00B171D6"/>
    <w:rsid w:val="00B175F9"/>
    <w:rsid w:val="00B179C1"/>
    <w:rsid w:val="00B17AB1"/>
    <w:rsid w:val="00B17DFC"/>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440"/>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5A7B"/>
    <w:rsid w:val="00BB644C"/>
    <w:rsid w:val="00BB6738"/>
    <w:rsid w:val="00BB759A"/>
    <w:rsid w:val="00BB7EC2"/>
    <w:rsid w:val="00BC1C52"/>
    <w:rsid w:val="00BC2E9C"/>
    <w:rsid w:val="00BC3857"/>
    <w:rsid w:val="00BC3B61"/>
    <w:rsid w:val="00BC3B86"/>
    <w:rsid w:val="00BC3C25"/>
    <w:rsid w:val="00BC42D9"/>
    <w:rsid w:val="00BC431B"/>
    <w:rsid w:val="00BC5829"/>
    <w:rsid w:val="00BC597D"/>
    <w:rsid w:val="00BC5B93"/>
    <w:rsid w:val="00BC5C8A"/>
    <w:rsid w:val="00BC5E4F"/>
    <w:rsid w:val="00BC67EC"/>
    <w:rsid w:val="00BC6A57"/>
    <w:rsid w:val="00BC6FF0"/>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A72"/>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27D9"/>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27E68"/>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0A25"/>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28C"/>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3B24"/>
    <w:rsid w:val="00C847D6"/>
    <w:rsid w:val="00C84B4A"/>
    <w:rsid w:val="00C8589E"/>
    <w:rsid w:val="00C85DFD"/>
    <w:rsid w:val="00C860D5"/>
    <w:rsid w:val="00C86441"/>
    <w:rsid w:val="00C86FBA"/>
    <w:rsid w:val="00C90AEF"/>
    <w:rsid w:val="00C90B4B"/>
    <w:rsid w:val="00C91DB1"/>
    <w:rsid w:val="00C91E90"/>
    <w:rsid w:val="00C9216F"/>
    <w:rsid w:val="00C922A4"/>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3591"/>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1E1"/>
    <w:rsid w:val="00CE1A85"/>
    <w:rsid w:val="00CE1F99"/>
    <w:rsid w:val="00CE2070"/>
    <w:rsid w:val="00CE27FB"/>
    <w:rsid w:val="00CE39AA"/>
    <w:rsid w:val="00CE464B"/>
    <w:rsid w:val="00CE4804"/>
    <w:rsid w:val="00CE4C19"/>
    <w:rsid w:val="00CE58C4"/>
    <w:rsid w:val="00CE62B7"/>
    <w:rsid w:val="00CE6DE2"/>
    <w:rsid w:val="00CE7CCC"/>
    <w:rsid w:val="00CF01C4"/>
    <w:rsid w:val="00CF0DF2"/>
    <w:rsid w:val="00CF12FF"/>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66B8"/>
    <w:rsid w:val="00D0721D"/>
    <w:rsid w:val="00D07484"/>
    <w:rsid w:val="00D10DCF"/>
    <w:rsid w:val="00D124E2"/>
    <w:rsid w:val="00D12769"/>
    <w:rsid w:val="00D13230"/>
    <w:rsid w:val="00D13492"/>
    <w:rsid w:val="00D134BA"/>
    <w:rsid w:val="00D13EB6"/>
    <w:rsid w:val="00D145B2"/>
    <w:rsid w:val="00D14E3F"/>
    <w:rsid w:val="00D15766"/>
    <w:rsid w:val="00D159C1"/>
    <w:rsid w:val="00D171D0"/>
    <w:rsid w:val="00D17AD8"/>
    <w:rsid w:val="00D20108"/>
    <w:rsid w:val="00D21059"/>
    <w:rsid w:val="00D216AF"/>
    <w:rsid w:val="00D21F3E"/>
    <w:rsid w:val="00D22A4D"/>
    <w:rsid w:val="00D22D4C"/>
    <w:rsid w:val="00D232FA"/>
    <w:rsid w:val="00D234F3"/>
    <w:rsid w:val="00D23771"/>
    <w:rsid w:val="00D23EAA"/>
    <w:rsid w:val="00D2444E"/>
    <w:rsid w:val="00D25A07"/>
    <w:rsid w:val="00D25AE4"/>
    <w:rsid w:val="00D26A54"/>
    <w:rsid w:val="00D2730A"/>
    <w:rsid w:val="00D27C67"/>
    <w:rsid w:val="00D30063"/>
    <w:rsid w:val="00D3076E"/>
    <w:rsid w:val="00D30918"/>
    <w:rsid w:val="00D3101F"/>
    <w:rsid w:val="00D316ED"/>
    <w:rsid w:val="00D31F1A"/>
    <w:rsid w:val="00D323A1"/>
    <w:rsid w:val="00D327A4"/>
    <w:rsid w:val="00D32ECF"/>
    <w:rsid w:val="00D332EB"/>
    <w:rsid w:val="00D34433"/>
    <w:rsid w:val="00D34834"/>
    <w:rsid w:val="00D354BD"/>
    <w:rsid w:val="00D35D98"/>
    <w:rsid w:val="00D36057"/>
    <w:rsid w:val="00D36876"/>
    <w:rsid w:val="00D37447"/>
    <w:rsid w:val="00D408AF"/>
    <w:rsid w:val="00D4159A"/>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209"/>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2B76"/>
    <w:rsid w:val="00D63588"/>
    <w:rsid w:val="00D63A6E"/>
    <w:rsid w:val="00D640F4"/>
    <w:rsid w:val="00D64314"/>
    <w:rsid w:val="00D6458F"/>
    <w:rsid w:val="00D647F8"/>
    <w:rsid w:val="00D65253"/>
    <w:rsid w:val="00D65426"/>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25C"/>
    <w:rsid w:val="00D767C5"/>
    <w:rsid w:val="00D777EE"/>
    <w:rsid w:val="00D77B44"/>
    <w:rsid w:val="00D77CE2"/>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65F4"/>
    <w:rsid w:val="00D87683"/>
    <w:rsid w:val="00D87D15"/>
    <w:rsid w:val="00D90280"/>
    <w:rsid w:val="00D90766"/>
    <w:rsid w:val="00D907D7"/>
    <w:rsid w:val="00D90C6D"/>
    <w:rsid w:val="00D90FEB"/>
    <w:rsid w:val="00D915D8"/>
    <w:rsid w:val="00D91695"/>
    <w:rsid w:val="00D91851"/>
    <w:rsid w:val="00D91FA1"/>
    <w:rsid w:val="00D920A6"/>
    <w:rsid w:val="00D9331E"/>
    <w:rsid w:val="00D93BAD"/>
    <w:rsid w:val="00D941AB"/>
    <w:rsid w:val="00D94A40"/>
    <w:rsid w:val="00D954F5"/>
    <w:rsid w:val="00D9581D"/>
    <w:rsid w:val="00D96577"/>
    <w:rsid w:val="00D96C9A"/>
    <w:rsid w:val="00D9747C"/>
    <w:rsid w:val="00D97E0F"/>
    <w:rsid w:val="00DA072B"/>
    <w:rsid w:val="00DA0795"/>
    <w:rsid w:val="00DA0F58"/>
    <w:rsid w:val="00DA1B03"/>
    <w:rsid w:val="00DA1BA6"/>
    <w:rsid w:val="00DA31FD"/>
    <w:rsid w:val="00DA36FB"/>
    <w:rsid w:val="00DA37A7"/>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1BA"/>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0ED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2C89"/>
    <w:rsid w:val="00DD3CBA"/>
    <w:rsid w:val="00DD46B4"/>
    <w:rsid w:val="00DD4EB9"/>
    <w:rsid w:val="00DD51A0"/>
    <w:rsid w:val="00DD70C8"/>
    <w:rsid w:val="00DD75A3"/>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6E5"/>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31A3"/>
    <w:rsid w:val="00DF4C4B"/>
    <w:rsid w:val="00DF4E6C"/>
    <w:rsid w:val="00DF5EA7"/>
    <w:rsid w:val="00DF68FE"/>
    <w:rsid w:val="00DF690E"/>
    <w:rsid w:val="00DF772C"/>
    <w:rsid w:val="00DF77EB"/>
    <w:rsid w:val="00DF7B53"/>
    <w:rsid w:val="00DF7BAE"/>
    <w:rsid w:val="00DF7D9A"/>
    <w:rsid w:val="00E00299"/>
    <w:rsid w:val="00E025D9"/>
    <w:rsid w:val="00E02C1C"/>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1C3"/>
    <w:rsid w:val="00E15C82"/>
    <w:rsid w:val="00E15CED"/>
    <w:rsid w:val="00E15DC9"/>
    <w:rsid w:val="00E15E78"/>
    <w:rsid w:val="00E15EB5"/>
    <w:rsid w:val="00E167C8"/>
    <w:rsid w:val="00E16923"/>
    <w:rsid w:val="00E16C29"/>
    <w:rsid w:val="00E16C87"/>
    <w:rsid w:val="00E16E94"/>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192"/>
    <w:rsid w:val="00E2638A"/>
    <w:rsid w:val="00E26C7B"/>
    <w:rsid w:val="00E27D60"/>
    <w:rsid w:val="00E30385"/>
    <w:rsid w:val="00E3046F"/>
    <w:rsid w:val="00E31D1A"/>
    <w:rsid w:val="00E31ECF"/>
    <w:rsid w:val="00E32025"/>
    <w:rsid w:val="00E32CEF"/>
    <w:rsid w:val="00E33404"/>
    <w:rsid w:val="00E3379A"/>
    <w:rsid w:val="00E341E6"/>
    <w:rsid w:val="00E34420"/>
    <w:rsid w:val="00E34EDF"/>
    <w:rsid w:val="00E3538B"/>
    <w:rsid w:val="00E35FDD"/>
    <w:rsid w:val="00E37021"/>
    <w:rsid w:val="00E3702D"/>
    <w:rsid w:val="00E3789A"/>
    <w:rsid w:val="00E40A75"/>
    <w:rsid w:val="00E40B89"/>
    <w:rsid w:val="00E410D7"/>
    <w:rsid w:val="00E410EA"/>
    <w:rsid w:val="00E41211"/>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0994"/>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8A3"/>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2858"/>
    <w:rsid w:val="00E83006"/>
    <w:rsid w:val="00E8303D"/>
    <w:rsid w:val="00E8479B"/>
    <w:rsid w:val="00E8495A"/>
    <w:rsid w:val="00E852E9"/>
    <w:rsid w:val="00E8532B"/>
    <w:rsid w:val="00E854F9"/>
    <w:rsid w:val="00E85647"/>
    <w:rsid w:val="00E85EDC"/>
    <w:rsid w:val="00E867CE"/>
    <w:rsid w:val="00E86CBA"/>
    <w:rsid w:val="00E9030C"/>
    <w:rsid w:val="00E91579"/>
    <w:rsid w:val="00E91C6C"/>
    <w:rsid w:val="00E927CE"/>
    <w:rsid w:val="00E92D0E"/>
    <w:rsid w:val="00E931B7"/>
    <w:rsid w:val="00E93371"/>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E22"/>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1C8"/>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290F"/>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7F0"/>
    <w:rsid w:val="00EF2CCD"/>
    <w:rsid w:val="00EF3354"/>
    <w:rsid w:val="00EF34F4"/>
    <w:rsid w:val="00EF362B"/>
    <w:rsid w:val="00EF3A34"/>
    <w:rsid w:val="00EF3B7C"/>
    <w:rsid w:val="00EF56EC"/>
    <w:rsid w:val="00EF5793"/>
    <w:rsid w:val="00EF5E34"/>
    <w:rsid w:val="00EF5F77"/>
    <w:rsid w:val="00EF641E"/>
    <w:rsid w:val="00EF6424"/>
    <w:rsid w:val="00EF6C09"/>
    <w:rsid w:val="00EF764E"/>
    <w:rsid w:val="00EF7A52"/>
    <w:rsid w:val="00F01780"/>
    <w:rsid w:val="00F01B4F"/>
    <w:rsid w:val="00F02013"/>
    <w:rsid w:val="00F020C2"/>
    <w:rsid w:val="00F02152"/>
    <w:rsid w:val="00F023D1"/>
    <w:rsid w:val="00F02868"/>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242"/>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7EF"/>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4BB"/>
    <w:rsid w:val="00F365A7"/>
    <w:rsid w:val="00F375C9"/>
    <w:rsid w:val="00F40964"/>
    <w:rsid w:val="00F40E09"/>
    <w:rsid w:val="00F4117C"/>
    <w:rsid w:val="00F41188"/>
    <w:rsid w:val="00F4128F"/>
    <w:rsid w:val="00F41392"/>
    <w:rsid w:val="00F42292"/>
    <w:rsid w:val="00F42438"/>
    <w:rsid w:val="00F42CEB"/>
    <w:rsid w:val="00F42F0C"/>
    <w:rsid w:val="00F43444"/>
    <w:rsid w:val="00F434B4"/>
    <w:rsid w:val="00F43AD6"/>
    <w:rsid w:val="00F44297"/>
    <w:rsid w:val="00F44B06"/>
    <w:rsid w:val="00F45309"/>
    <w:rsid w:val="00F458EB"/>
    <w:rsid w:val="00F46423"/>
    <w:rsid w:val="00F46769"/>
    <w:rsid w:val="00F46B26"/>
    <w:rsid w:val="00F46D21"/>
    <w:rsid w:val="00F46DB5"/>
    <w:rsid w:val="00F473FF"/>
    <w:rsid w:val="00F47E6A"/>
    <w:rsid w:val="00F50220"/>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67436"/>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6DB"/>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9E6"/>
    <w:rsid w:val="00FB1F4D"/>
    <w:rsid w:val="00FB2035"/>
    <w:rsid w:val="00FB217C"/>
    <w:rsid w:val="00FB2837"/>
    <w:rsid w:val="00FB2EF2"/>
    <w:rsid w:val="00FB3B43"/>
    <w:rsid w:val="00FB430F"/>
    <w:rsid w:val="00FB437D"/>
    <w:rsid w:val="00FB5134"/>
    <w:rsid w:val="00FB5423"/>
    <w:rsid w:val="00FB56B4"/>
    <w:rsid w:val="00FB5A76"/>
    <w:rsid w:val="00FB6045"/>
    <w:rsid w:val="00FB6260"/>
    <w:rsid w:val="00FB6368"/>
    <w:rsid w:val="00FB716E"/>
    <w:rsid w:val="00FB7C82"/>
    <w:rsid w:val="00FC053A"/>
    <w:rsid w:val="00FC054E"/>
    <w:rsid w:val="00FC122B"/>
    <w:rsid w:val="00FC1D4A"/>
    <w:rsid w:val="00FC1D7F"/>
    <w:rsid w:val="00FC2217"/>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0B0E"/>
    <w:rsid w:val="00FD13FD"/>
    <w:rsid w:val="00FD1403"/>
    <w:rsid w:val="00FD208A"/>
    <w:rsid w:val="00FD259D"/>
    <w:rsid w:val="00FD296D"/>
    <w:rsid w:val="00FD2E28"/>
    <w:rsid w:val="00FD31A9"/>
    <w:rsid w:val="00FD329B"/>
    <w:rsid w:val="00FD445B"/>
    <w:rsid w:val="00FD46E3"/>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B39"/>
    <w:rsid w:val="00FF0CCA"/>
    <w:rsid w:val="00FF0DA7"/>
    <w:rsid w:val="00FF2D2B"/>
    <w:rsid w:val="00FF2E29"/>
    <w:rsid w:val="00FF3341"/>
    <w:rsid w:val="00FF404A"/>
    <w:rsid w:val="00FF5005"/>
    <w:rsid w:val="00FF5B8A"/>
    <w:rsid w:val="00FF6EE4"/>
    <w:rsid w:val="02AF3174"/>
    <w:rsid w:val="04111094"/>
    <w:rsid w:val="0490638E"/>
    <w:rsid w:val="06152829"/>
    <w:rsid w:val="06CC2A87"/>
    <w:rsid w:val="06E55ACF"/>
    <w:rsid w:val="077F04D9"/>
    <w:rsid w:val="080F6B12"/>
    <w:rsid w:val="09687F36"/>
    <w:rsid w:val="0B057CFB"/>
    <w:rsid w:val="0C4F656A"/>
    <w:rsid w:val="0CB04199"/>
    <w:rsid w:val="0DD359BA"/>
    <w:rsid w:val="0DDD51F1"/>
    <w:rsid w:val="0E444989"/>
    <w:rsid w:val="0F7475AE"/>
    <w:rsid w:val="0FB7580A"/>
    <w:rsid w:val="0FC6688A"/>
    <w:rsid w:val="108D1707"/>
    <w:rsid w:val="13232D35"/>
    <w:rsid w:val="158B5FE6"/>
    <w:rsid w:val="17650D6F"/>
    <w:rsid w:val="184B7AF2"/>
    <w:rsid w:val="1AE041B2"/>
    <w:rsid w:val="1CA3450A"/>
    <w:rsid w:val="1E5701E1"/>
    <w:rsid w:val="20242017"/>
    <w:rsid w:val="214135E7"/>
    <w:rsid w:val="2523151F"/>
    <w:rsid w:val="270C5387"/>
    <w:rsid w:val="27F31009"/>
    <w:rsid w:val="28101153"/>
    <w:rsid w:val="289A4890"/>
    <w:rsid w:val="2913307B"/>
    <w:rsid w:val="2BF10707"/>
    <w:rsid w:val="2CA241C4"/>
    <w:rsid w:val="2F4807C7"/>
    <w:rsid w:val="30FB364B"/>
    <w:rsid w:val="327370F9"/>
    <w:rsid w:val="366803A8"/>
    <w:rsid w:val="37B8766E"/>
    <w:rsid w:val="381A0ADD"/>
    <w:rsid w:val="39CE2422"/>
    <w:rsid w:val="3ACF398B"/>
    <w:rsid w:val="3D4601A5"/>
    <w:rsid w:val="3F9D6DD3"/>
    <w:rsid w:val="3FF646F8"/>
    <w:rsid w:val="41FD38C3"/>
    <w:rsid w:val="423A25CF"/>
    <w:rsid w:val="426E11B4"/>
    <w:rsid w:val="42890AC7"/>
    <w:rsid w:val="42E4469A"/>
    <w:rsid w:val="43A27541"/>
    <w:rsid w:val="43E40964"/>
    <w:rsid w:val="44167C39"/>
    <w:rsid w:val="44BF0095"/>
    <w:rsid w:val="457A6AA9"/>
    <w:rsid w:val="45956319"/>
    <w:rsid w:val="46080375"/>
    <w:rsid w:val="47530241"/>
    <w:rsid w:val="48D93007"/>
    <w:rsid w:val="49471751"/>
    <w:rsid w:val="49D61E99"/>
    <w:rsid w:val="4BAC20C5"/>
    <w:rsid w:val="4BC5292E"/>
    <w:rsid w:val="4CB34F6E"/>
    <w:rsid w:val="4CE95268"/>
    <w:rsid w:val="4DF74140"/>
    <w:rsid w:val="4DFB7782"/>
    <w:rsid w:val="4EFE34E6"/>
    <w:rsid w:val="4FF74B26"/>
    <w:rsid w:val="510374A0"/>
    <w:rsid w:val="517E5455"/>
    <w:rsid w:val="52177748"/>
    <w:rsid w:val="538D0E7A"/>
    <w:rsid w:val="55597ADB"/>
    <w:rsid w:val="563170F6"/>
    <w:rsid w:val="5889054F"/>
    <w:rsid w:val="5C8100EF"/>
    <w:rsid w:val="5D550F1A"/>
    <w:rsid w:val="5E5937E7"/>
    <w:rsid w:val="5E9505C0"/>
    <w:rsid w:val="604D7639"/>
    <w:rsid w:val="626612D7"/>
    <w:rsid w:val="62EB2566"/>
    <w:rsid w:val="645951EC"/>
    <w:rsid w:val="660901C1"/>
    <w:rsid w:val="666D1928"/>
    <w:rsid w:val="671C46C1"/>
    <w:rsid w:val="678E06E3"/>
    <w:rsid w:val="68553EE9"/>
    <w:rsid w:val="69713E00"/>
    <w:rsid w:val="6A127B12"/>
    <w:rsid w:val="6ADE5CCA"/>
    <w:rsid w:val="6AE702AE"/>
    <w:rsid w:val="6D5B21F7"/>
    <w:rsid w:val="6D6946B9"/>
    <w:rsid w:val="74C716DA"/>
    <w:rsid w:val="75863B26"/>
    <w:rsid w:val="763C2E9B"/>
    <w:rsid w:val="78416B7C"/>
    <w:rsid w:val="78B75F18"/>
    <w:rsid w:val="78FE5FFC"/>
    <w:rsid w:val="7BAA691D"/>
    <w:rsid w:val="7F5151E9"/>
    <w:rsid w:val="7F76266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51D10"/>
  <w15:docId w15:val="{39D322D4-C2B6-40CA-BC7A-B90922F87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20"/>
      <w:jc w:val="both"/>
      <w:textAlignment w:val="baseline"/>
    </w:pPr>
    <w:rPr>
      <w:rFonts w:ascii="Arial" w:eastAsia="Times New Roman" w:hAnsi="Arial"/>
      <w:lang w:val="en-GB"/>
    </w:rPr>
  </w:style>
  <w:style w:type="paragraph" w:styleId="1">
    <w:name w:val="heading 1"/>
    <w:basedOn w:val="a"/>
    <w:next w:val="a"/>
    <w:link w:val="10"/>
    <w:qFormat/>
    <w:pPr>
      <w:keepNext/>
      <w:keepLines/>
      <w:numPr>
        <w:numId w:val="1"/>
      </w:numPr>
      <w:pBdr>
        <w:top w:val="single" w:sz="12" w:space="3" w:color="auto"/>
      </w:pBdr>
      <w:spacing w:before="240" w:after="180"/>
      <w:outlineLvl w:val="0"/>
    </w:pPr>
    <w:rPr>
      <w:rFonts w:cs="Arial"/>
      <w:sz w:val="36"/>
      <w:szCs w:val="36"/>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cs="Arial"/>
    </w:rPr>
  </w:style>
  <w:style w:type="paragraph" w:styleId="7">
    <w:name w:val="heading 7"/>
    <w:basedOn w:val="a"/>
    <w:next w:val="a"/>
    <w:link w:val="70"/>
    <w:qFormat/>
    <w:pPr>
      <w:keepNext/>
      <w:keepLines/>
      <w:numPr>
        <w:ilvl w:val="6"/>
        <w:numId w:val="1"/>
      </w:numPr>
      <w:spacing w:before="120"/>
      <w:outlineLvl w:val="6"/>
    </w:pPr>
    <w:rPr>
      <w:rFonts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next w:val="a4"/>
    <w:link w:val="a5"/>
    <w:qFormat/>
    <w:pPr>
      <w:spacing w:before="120" w:after="120"/>
      <w:ind w:left="2438" w:hanging="1134"/>
    </w:pPr>
    <w:rPr>
      <w:rFonts w:ascii="Arial" w:eastAsia="Times New Roman" w:hAnsi="Arial"/>
      <w:kern w:val="20"/>
      <w:lang w:eastAsia="en-US"/>
    </w:rPr>
  </w:style>
  <w:style w:type="paragraph" w:styleId="a4">
    <w:name w:val="Body Text"/>
    <w:basedOn w:val="a"/>
    <w:link w:val="a6"/>
    <w:uiPriority w:val="99"/>
    <w:semiHidden/>
    <w:unhideWhenUsed/>
    <w:qFormat/>
  </w:style>
  <w:style w:type="paragraph" w:styleId="a7">
    <w:name w:val="annotation text"/>
    <w:basedOn w:val="a"/>
    <w:link w:val="a8"/>
    <w:qFormat/>
  </w:style>
  <w:style w:type="paragraph" w:styleId="a9">
    <w:name w:val="Balloon Text"/>
    <w:basedOn w:val="a"/>
    <w:link w:val="aa"/>
    <w:uiPriority w:val="99"/>
    <w:semiHidden/>
    <w:unhideWhenUsed/>
    <w:qFormat/>
    <w:pPr>
      <w:spacing w:after="0"/>
    </w:pPr>
    <w:rPr>
      <w:rFonts w:ascii="Segoe UI" w:hAnsi="Segoe UI" w:cs="Segoe UI"/>
      <w:sz w:val="18"/>
      <w:szCs w:val="18"/>
    </w:rPr>
  </w:style>
  <w:style w:type="paragraph" w:styleId="ab">
    <w:name w:val="footer"/>
    <w:basedOn w:val="ac"/>
    <w:link w:val="ad"/>
    <w:uiPriority w:val="99"/>
    <w:qFormat/>
    <w:pPr>
      <w:widowControl w:val="0"/>
      <w:jc w:val="center"/>
    </w:pPr>
    <w:rPr>
      <w:rFonts w:cs="Arial"/>
      <w:b/>
      <w:bCs/>
      <w:i/>
      <w:iCs/>
      <w:sz w:val="18"/>
      <w:szCs w:val="18"/>
      <w:lang w:val="en-US"/>
    </w:rPr>
  </w:style>
  <w:style w:type="paragraph" w:styleId="ac">
    <w:name w:val="header"/>
    <w:basedOn w:val="a"/>
    <w:link w:val="ae"/>
    <w:uiPriority w:val="99"/>
    <w:unhideWhenUsed/>
    <w:qFormat/>
    <w:pPr>
      <w:tabs>
        <w:tab w:val="center" w:pos="4513"/>
        <w:tab w:val="right" w:pos="9026"/>
      </w:tabs>
      <w:spacing w:after="0"/>
    </w:pPr>
  </w:style>
  <w:style w:type="paragraph" w:styleId="af">
    <w:name w:val="List"/>
    <w:basedOn w:val="a"/>
    <w:uiPriority w:val="99"/>
    <w:semiHidden/>
    <w:unhideWhenUsed/>
    <w:qFormat/>
    <w:pPr>
      <w:ind w:left="283" w:hanging="283"/>
      <w:contextualSpacing/>
    </w:pPr>
  </w:style>
  <w:style w:type="paragraph" w:styleId="af0">
    <w:name w:val="Normal (Web)"/>
    <w:basedOn w:val="a"/>
    <w:uiPriority w:val="99"/>
    <w:semiHidden/>
    <w:unhideWhenUsed/>
    <w:qFormat/>
    <w:rPr>
      <w:sz w:val="24"/>
    </w:rPr>
  </w:style>
  <w:style w:type="paragraph" w:styleId="af1">
    <w:name w:val="annotation subject"/>
    <w:basedOn w:val="a7"/>
    <w:next w:val="a7"/>
    <w:link w:val="af2"/>
    <w:uiPriority w:val="99"/>
    <w:semiHidden/>
    <w:unhideWhenUsed/>
    <w:qFormat/>
    <w:rPr>
      <w:b/>
      <w:bCs/>
    </w:rPr>
  </w:style>
  <w:style w:type="table" w:styleId="af3">
    <w:name w:val="Table Grid"/>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semiHidden/>
    <w:qFormat/>
  </w:style>
  <w:style w:type="character" w:styleId="af5">
    <w:name w:val="Hyperlink"/>
    <w:uiPriority w:val="99"/>
    <w:qFormat/>
    <w:rPr>
      <w:color w:val="0000FF"/>
      <w:u w:val="single"/>
      <w:lang w:val="en-GB"/>
    </w:rPr>
  </w:style>
  <w:style w:type="character" w:styleId="af6">
    <w:name w:val="annotation reference"/>
    <w:qFormat/>
    <w:rPr>
      <w:sz w:val="16"/>
      <w:szCs w:val="16"/>
    </w:rPr>
  </w:style>
  <w:style w:type="character" w:customStyle="1" w:styleId="10">
    <w:name w:val="标题 1 字符"/>
    <w:basedOn w:val="a0"/>
    <w:link w:val="1"/>
    <w:qFormat/>
    <w:rPr>
      <w:rFonts w:ascii="Arial" w:eastAsia="Times New Roman" w:hAnsi="Arial" w:cs="Arial"/>
      <w:sz w:val="36"/>
      <w:szCs w:val="36"/>
      <w:lang w:val="en-GB" w:eastAsia="zh-CN"/>
    </w:rPr>
  </w:style>
  <w:style w:type="character" w:customStyle="1" w:styleId="20">
    <w:name w:val="标题 2 字符"/>
    <w:basedOn w:val="a0"/>
    <w:link w:val="2"/>
    <w:qFormat/>
    <w:rPr>
      <w:rFonts w:ascii="Arial" w:eastAsia="Times New Roman" w:hAnsi="Arial" w:cs="Arial"/>
      <w:sz w:val="32"/>
      <w:szCs w:val="32"/>
      <w:lang w:val="en-GB" w:eastAsia="zh-CN"/>
    </w:rPr>
  </w:style>
  <w:style w:type="character" w:customStyle="1" w:styleId="30">
    <w:name w:val="标题 3 字符"/>
    <w:basedOn w:val="a0"/>
    <w:link w:val="3"/>
    <w:qFormat/>
    <w:rPr>
      <w:rFonts w:ascii="Arial" w:eastAsia="Times New Roman" w:hAnsi="Arial" w:cs="Arial"/>
      <w:sz w:val="28"/>
      <w:szCs w:val="28"/>
      <w:lang w:val="en-GB" w:eastAsia="zh-CN"/>
    </w:rPr>
  </w:style>
  <w:style w:type="character" w:customStyle="1" w:styleId="40">
    <w:name w:val="标题 4 字符"/>
    <w:basedOn w:val="a0"/>
    <w:link w:val="4"/>
    <w:qFormat/>
    <w:rPr>
      <w:rFonts w:ascii="Arial" w:eastAsia="Times New Roman" w:hAnsi="Arial" w:cs="Arial"/>
      <w:sz w:val="24"/>
      <w:szCs w:val="24"/>
      <w:lang w:val="en-GB" w:eastAsia="zh-CN"/>
    </w:rPr>
  </w:style>
  <w:style w:type="character" w:customStyle="1" w:styleId="50">
    <w:name w:val="标题 5 字符"/>
    <w:basedOn w:val="a0"/>
    <w:link w:val="5"/>
    <w:qFormat/>
    <w:rPr>
      <w:rFonts w:ascii="Arial" w:eastAsia="Times New Roman" w:hAnsi="Arial" w:cs="Arial"/>
      <w:lang w:val="en-GB" w:eastAsia="zh-CN"/>
    </w:rPr>
  </w:style>
  <w:style w:type="character" w:customStyle="1" w:styleId="60">
    <w:name w:val="标题 6 字符"/>
    <w:basedOn w:val="a0"/>
    <w:link w:val="6"/>
    <w:qFormat/>
    <w:rPr>
      <w:rFonts w:ascii="Arial" w:eastAsia="Times New Roman" w:hAnsi="Arial" w:cs="Arial"/>
      <w:sz w:val="20"/>
      <w:szCs w:val="20"/>
      <w:lang w:val="en-GB" w:eastAsia="zh-CN"/>
    </w:rPr>
  </w:style>
  <w:style w:type="character" w:customStyle="1" w:styleId="70">
    <w:name w:val="标题 7 字符"/>
    <w:basedOn w:val="a0"/>
    <w:link w:val="7"/>
    <w:qFormat/>
    <w:rPr>
      <w:rFonts w:ascii="Arial" w:eastAsia="Times New Roman" w:hAnsi="Arial" w:cs="Arial"/>
      <w:sz w:val="20"/>
      <w:szCs w:val="20"/>
      <w:lang w:val="en-GB" w:eastAsia="zh-CN"/>
    </w:rPr>
  </w:style>
  <w:style w:type="character" w:customStyle="1" w:styleId="80">
    <w:name w:val="标题 8 字符"/>
    <w:basedOn w:val="a0"/>
    <w:link w:val="8"/>
    <w:qFormat/>
    <w:rPr>
      <w:rFonts w:ascii="Arial" w:eastAsia="Times New Roman" w:hAnsi="Arial" w:cs="Arial"/>
      <w:sz w:val="20"/>
      <w:szCs w:val="20"/>
      <w:lang w:val="en-GB" w:eastAsia="zh-CN"/>
    </w:rPr>
  </w:style>
  <w:style w:type="character" w:customStyle="1" w:styleId="90">
    <w:name w:val="标题 9 字符"/>
    <w:basedOn w:val="a0"/>
    <w:link w:val="9"/>
    <w:qFormat/>
    <w:rPr>
      <w:rFonts w:ascii="Arial" w:eastAsia="Times New Roman" w:hAnsi="Arial" w:cs="Arial"/>
      <w:sz w:val="20"/>
      <w:szCs w:val="20"/>
      <w:lang w:val="en-GB" w:eastAsia="zh-CN"/>
    </w:rPr>
  </w:style>
  <w:style w:type="paragraph" w:customStyle="1" w:styleId="3GPPHeader">
    <w:name w:val="3GPP_Header"/>
    <w:basedOn w:val="a"/>
    <w:qFormat/>
    <w:pPr>
      <w:tabs>
        <w:tab w:val="left" w:pos="1701"/>
        <w:tab w:val="right" w:pos="9639"/>
      </w:tabs>
      <w:spacing w:after="240"/>
    </w:pPr>
    <w:rPr>
      <w:b/>
      <w:sz w:val="24"/>
    </w:rPr>
  </w:style>
  <w:style w:type="character" w:customStyle="1" w:styleId="ad">
    <w:name w:val="页脚 字符"/>
    <w:basedOn w:val="a0"/>
    <w:link w:val="ab"/>
    <w:uiPriority w:val="99"/>
    <w:qFormat/>
    <w:rPr>
      <w:rFonts w:ascii="Arial" w:eastAsia="Times New Roman" w:hAnsi="Arial" w:cs="Arial"/>
      <w:b/>
      <w:bCs/>
      <w:i/>
      <w:iCs/>
      <w:sz w:val="18"/>
      <w:szCs w:val="18"/>
      <w:lang w:val="en-US" w:eastAsia="zh-CN"/>
    </w:rPr>
  </w:style>
  <w:style w:type="character" w:customStyle="1" w:styleId="a8">
    <w:name w:val="批注文字 字符"/>
    <w:basedOn w:val="a0"/>
    <w:link w:val="a7"/>
    <w:qFormat/>
    <w:rPr>
      <w:rFonts w:ascii="Arial" w:eastAsia="Times New Roman" w:hAnsi="Arial" w:cs="Times New Roman"/>
      <w:sz w:val="20"/>
      <w:szCs w:val="20"/>
      <w:lang w:val="en-GB" w:eastAsia="zh-CN"/>
    </w:rPr>
  </w:style>
  <w:style w:type="paragraph" w:customStyle="1" w:styleId="B1">
    <w:name w:val="B1"/>
    <w:basedOn w:val="af"/>
    <w:link w:val="B1Char1"/>
    <w:qFormat/>
    <w:pPr>
      <w:spacing w:after="180"/>
      <w:ind w:left="568" w:hanging="284"/>
      <w:contextualSpacing w:val="0"/>
      <w:jc w:val="left"/>
    </w:pPr>
    <w:rPr>
      <w:lang w:eastAsia="en-US"/>
    </w:rPr>
  </w:style>
  <w:style w:type="paragraph" w:styleId="af7">
    <w:name w:val="List Paragraph"/>
    <w:basedOn w:val="a"/>
    <w:link w:val="af8"/>
    <w:uiPriority w:val="34"/>
    <w:qFormat/>
    <w:pPr>
      <w:ind w:left="720"/>
      <w:contextualSpacing/>
    </w:pPr>
  </w:style>
  <w:style w:type="character" w:customStyle="1" w:styleId="B1Char1">
    <w:name w:val="B1 Char1"/>
    <w:link w:val="B1"/>
    <w:qFormat/>
    <w:rPr>
      <w:rFonts w:ascii="Arial" w:eastAsia="Times New Roman" w:hAnsi="Arial" w:cs="Times New Roman"/>
      <w:sz w:val="20"/>
      <w:szCs w:val="20"/>
      <w:lang w:val="en-GB"/>
    </w:rPr>
  </w:style>
  <w:style w:type="paragraph" w:customStyle="1" w:styleId="IvDInstructiontext">
    <w:name w:val="IvD Instructiontext"/>
    <w:basedOn w:val="a4"/>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spacing w:val="2"/>
      <w:sz w:val="18"/>
      <w:szCs w:val="18"/>
      <w:lang w:val="en-US"/>
    </w:rPr>
  </w:style>
  <w:style w:type="paragraph" w:customStyle="1" w:styleId="IvDbodytext">
    <w:name w:val="IvD bodytext"/>
    <w:basedOn w:val="a4"/>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val="en-US"/>
    </w:rPr>
  </w:style>
  <w:style w:type="character" w:customStyle="1" w:styleId="ae">
    <w:name w:val="页眉 字符"/>
    <w:basedOn w:val="a0"/>
    <w:link w:val="ac"/>
    <w:uiPriority w:val="99"/>
    <w:qFormat/>
    <w:rPr>
      <w:rFonts w:ascii="Arial" w:eastAsia="Times New Roman" w:hAnsi="Arial" w:cs="Times New Roman"/>
      <w:sz w:val="20"/>
      <w:szCs w:val="20"/>
      <w:lang w:val="en-GB" w:eastAsia="zh-CN"/>
    </w:rPr>
  </w:style>
  <w:style w:type="character" w:customStyle="1" w:styleId="a6">
    <w:name w:val="正文文本 字符"/>
    <w:basedOn w:val="a0"/>
    <w:link w:val="a4"/>
    <w:uiPriority w:val="99"/>
    <w:semiHidden/>
    <w:qFormat/>
    <w:rPr>
      <w:rFonts w:ascii="Arial" w:eastAsia="Times New Roman" w:hAnsi="Arial" w:cs="Times New Roman"/>
      <w:sz w:val="20"/>
      <w:szCs w:val="20"/>
      <w:lang w:val="en-GB" w:eastAsia="zh-CN"/>
    </w:rPr>
  </w:style>
  <w:style w:type="character" w:customStyle="1" w:styleId="aa">
    <w:name w:val="批注框文本 字符"/>
    <w:basedOn w:val="a0"/>
    <w:link w:val="a9"/>
    <w:uiPriority w:val="99"/>
    <w:semiHidden/>
    <w:qFormat/>
    <w:rPr>
      <w:rFonts w:ascii="Segoe UI" w:eastAsia="Times New Roman" w:hAnsi="Segoe UI" w:cs="Segoe UI"/>
      <w:sz w:val="18"/>
      <w:szCs w:val="18"/>
      <w:lang w:val="en-GB" w:eastAsia="zh-CN"/>
    </w:rPr>
  </w:style>
  <w:style w:type="character" w:customStyle="1" w:styleId="af2">
    <w:name w:val="批注主题 字符"/>
    <w:basedOn w:val="a8"/>
    <w:link w:val="af1"/>
    <w:uiPriority w:val="99"/>
    <w:semiHidden/>
    <w:qFormat/>
    <w:rPr>
      <w:rFonts w:ascii="Arial" w:eastAsia="Times New Roman" w:hAnsi="Arial" w:cs="Times New Roman"/>
      <w:b/>
      <w:bCs/>
      <w:sz w:val="20"/>
      <w:szCs w:val="20"/>
      <w:lang w:val="en-GB" w:eastAsia="zh-CN"/>
    </w:rPr>
  </w:style>
  <w:style w:type="character" w:customStyle="1" w:styleId="B1Char">
    <w:name w:val="B1 Char"/>
    <w:qFormat/>
    <w:locked/>
    <w:rPr>
      <w:lang w:val="en-GB" w:eastAsia="zh-CN"/>
    </w:rPr>
  </w:style>
  <w:style w:type="character" w:customStyle="1" w:styleId="af8">
    <w:name w:val="列出段落 字符"/>
    <w:link w:val="af7"/>
    <w:uiPriority w:val="34"/>
    <w:qFormat/>
    <w:locked/>
    <w:rPr>
      <w:rFonts w:ascii="Arial" w:eastAsia="Times New Roman" w:hAnsi="Arial" w:cs="Times New Roman"/>
      <w:sz w:val="20"/>
      <w:szCs w:val="20"/>
      <w:lang w:val="en-GB" w:eastAsia="zh-CN"/>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locked/>
    <w:rPr>
      <w:rFonts w:ascii="Arial" w:eastAsiaTheme="minorEastAsia" w:hAnsi="Arial" w:cs="Times New Roman"/>
      <w:sz w:val="20"/>
      <w:szCs w:val="20"/>
      <w:lang w:val="en-GB"/>
    </w:rPr>
  </w:style>
  <w:style w:type="character" w:customStyle="1" w:styleId="PLChar">
    <w:name w:val="PL Char"/>
    <w:link w:val="PL"/>
    <w:qFormat/>
    <w:rPr>
      <w:rFonts w:ascii="Courier New" w:hAnsi="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heme="minorBidi"/>
      <w:sz w:val="16"/>
      <w:szCs w:val="22"/>
      <w:lang w:val="en-GB" w:eastAsia="en-US"/>
    </w:rPr>
  </w:style>
  <w:style w:type="paragraph" w:customStyle="1" w:styleId="TAL">
    <w:name w:val="TAL"/>
    <w:basedOn w:val="a"/>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TAH">
    <w:name w:val="TAH"/>
    <w:basedOn w:val="a"/>
    <w:link w:val="TAHCar"/>
    <w:qFormat/>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Pr>
      <w:b/>
      <w:sz w:val="18"/>
      <w:lang w:val="en-US"/>
    </w:rPr>
  </w:style>
  <w:style w:type="character" w:customStyle="1" w:styleId="a5">
    <w:name w:val="题注 字符"/>
    <w:basedOn w:val="a0"/>
    <w:link w:val="a3"/>
    <w:qFormat/>
    <w:rPr>
      <w:rFonts w:ascii="Arial" w:eastAsia="Times New Roman" w:hAnsi="Arial" w:cs="Times New Roman"/>
      <w:kern w:val="20"/>
      <w:sz w:val="20"/>
      <w:szCs w:val="20"/>
      <w:lang w:val="en-US"/>
    </w:r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en-US"/>
    </w:rPr>
  </w:style>
  <w:style w:type="character" w:customStyle="1" w:styleId="WW8Num1z1">
    <w:name w:val="WW8Num1z1"/>
    <w:qFormat/>
    <w:rPr>
      <w:rFonts w:ascii="Courier New" w:hAnsi="Courier New" w:cs="Courier New" w:hint="default"/>
    </w:rPr>
  </w:style>
  <w:style w:type="paragraph" w:customStyle="1" w:styleId="11">
    <w:name w:val="修订1"/>
    <w:hidden/>
    <w:uiPriority w:val="99"/>
    <w:semiHidden/>
    <w:qFormat/>
    <w:rPr>
      <w:rFonts w:ascii="Arial" w:eastAsia="Times New Roman" w:hAnsi="Arial"/>
      <w:lang w:val="en-GB"/>
    </w:rPr>
  </w:style>
  <w:style w:type="paragraph" w:customStyle="1" w:styleId="Reference">
    <w:name w:val="Reference"/>
    <w:basedOn w:val="a4"/>
    <w:qFormat/>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qFormat/>
    <w:pPr>
      <w:jc w:val="center"/>
    </w:pPr>
    <w:rPr>
      <w:lang w:val="en-GB" w:eastAsia="en-GB"/>
    </w:rPr>
  </w:style>
  <w:style w:type="character" w:customStyle="1" w:styleId="TACChar">
    <w:name w:val="TAC Char"/>
    <w:basedOn w:val="TALChar"/>
    <w:link w:val="TAC"/>
    <w:qFormat/>
    <w:locked/>
    <w:rPr>
      <w:rFonts w:ascii="Arial" w:eastAsia="Times New Roman" w:hAnsi="Arial" w:cs="Times New Roman"/>
      <w:sz w:val="18"/>
      <w:szCs w:val="20"/>
      <w:lang w:val="en-GB" w:eastAsia="en-GB"/>
    </w:rPr>
  </w:style>
  <w:style w:type="paragraph" w:customStyle="1" w:styleId="TF">
    <w:name w:val="TF"/>
    <w:basedOn w:val="a"/>
    <w:link w:val="TFChar"/>
    <w:qFormat/>
    <w:pPr>
      <w:keepLines/>
      <w:overflowPunct/>
      <w:autoSpaceDE/>
      <w:autoSpaceDN/>
      <w:adjustRightInd/>
      <w:spacing w:after="240"/>
      <w:jc w:val="center"/>
      <w:textAlignment w:val="auto"/>
    </w:pPr>
    <w:rPr>
      <w:rFonts w:eastAsia="宋体"/>
      <w:b/>
      <w:lang w:eastAsia="en-US"/>
    </w:rPr>
  </w:style>
  <w:style w:type="character" w:customStyle="1" w:styleId="TFChar">
    <w:name w:val="TF Char"/>
    <w:link w:val="TF"/>
    <w:qFormat/>
    <w:rPr>
      <w:rFonts w:ascii="Arial" w:eastAsia="宋体" w:hAnsi="Arial" w:cs="Times New Roman"/>
      <w:b/>
      <w:sz w:val="20"/>
      <w:szCs w:val="20"/>
      <w:lang w:val="en-GB"/>
    </w:rPr>
  </w:style>
  <w:style w:type="paragraph" w:customStyle="1" w:styleId="Proposal">
    <w:name w:val="Proposal"/>
    <w:basedOn w:val="a4"/>
    <w:qFormat/>
    <w:pPr>
      <w:numPr>
        <w:numId w:val="3"/>
      </w:numPr>
      <w:tabs>
        <w:tab w:val="left" w:pos="1701"/>
      </w:tabs>
    </w:pPr>
    <w:rPr>
      <w:b/>
      <w:bCs/>
    </w:rPr>
  </w:style>
  <w:style w:type="paragraph" w:customStyle="1" w:styleId="Observation">
    <w:name w:val="Observation"/>
    <w:basedOn w:val="Proposal"/>
    <w:qFormat/>
    <w:pPr>
      <w:numPr>
        <w:numId w:val="4"/>
      </w:numPr>
    </w:pPr>
    <w:rPr>
      <w:lang w:eastAsia="ja-JP"/>
    </w:rPr>
  </w:style>
  <w:style w:type="paragraph" w:customStyle="1" w:styleId="Norml">
    <w:name w:val="Norml"/>
    <w:basedOn w:val="Proposal"/>
    <w:qFormat/>
  </w:style>
  <w:style w:type="character" w:customStyle="1" w:styleId="12">
    <w:name w:val="未处理的提及1"/>
    <w:basedOn w:val="a0"/>
    <w:uiPriority w:val="99"/>
    <w:unhideWhenUsed/>
    <w:qFormat/>
    <w:rPr>
      <w:color w:val="605E5C"/>
      <w:shd w:val="clear" w:color="auto" w:fill="E1DFDD"/>
    </w:rPr>
  </w:style>
  <w:style w:type="character" w:customStyle="1" w:styleId="13">
    <w:name w:val="@他1"/>
    <w:basedOn w:val="a0"/>
    <w:uiPriority w:val="99"/>
    <w:unhideWhenUsed/>
    <w:qFormat/>
    <w:rPr>
      <w:color w:val="2B579A"/>
      <w:shd w:val="clear" w:color="auto" w:fill="E1DFDD"/>
    </w:rPr>
  </w:style>
  <w:style w:type="paragraph" w:customStyle="1" w:styleId="00BodyText">
    <w:name w:val="00 BodyText"/>
    <w:basedOn w:val="a"/>
    <w:qFormat/>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Default">
    <w:name w:val="Default"/>
    <w:rsid w:val="002352BC"/>
    <w:pPr>
      <w:widowControl w:val="0"/>
      <w:autoSpaceDE w:val="0"/>
      <w:autoSpaceDN w:val="0"/>
      <w:adjustRightInd w:val="0"/>
    </w:pPr>
    <w:rPr>
      <w:color w:val="000000"/>
      <w:sz w:val="24"/>
      <w:szCs w:val="24"/>
    </w:rPr>
  </w:style>
  <w:style w:type="paragraph" w:customStyle="1" w:styleId="14">
    <w:name w:val="正文1"/>
    <w:rsid w:val="008A597C"/>
    <w:pPr>
      <w:jc w:val="both"/>
    </w:pPr>
    <w:rPr>
      <w:rFonts w:ascii="Calibri" w:eastAsia="宋体" w:hAnsi="Calibri" w:cs="Calibri"/>
      <w:kern w:val="2"/>
      <w:sz w:val="21"/>
      <w:szCs w:val="21"/>
    </w:rPr>
  </w:style>
  <w:style w:type="paragraph" w:customStyle="1" w:styleId="21">
    <w:name w:val="正文2"/>
    <w:rsid w:val="00BC6FF0"/>
    <w:pPr>
      <w:jc w:val="both"/>
    </w:pPr>
    <w:rPr>
      <w:rFonts w:ascii="Calibri" w:eastAsia="宋体" w:hAnsi="Calibri" w:cs="Calibri"/>
      <w:kern w:val="2"/>
      <w:sz w:val="21"/>
      <w:szCs w:val="21"/>
    </w:rPr>
  </w:style>
  <w:style w:type="character" w:customStyle="1" w:styleId="af9">
    <w:name w:val="首标题"/>
    <w:qFormat/>
    <w:rsid w:val="006E6E8B"/>
    <w:rPr>
      <w:rFonts w:ascii="Arial" w:eastAsia="宋体" w:hAnsi="Arial"/>
      <w:sz w:val="24"/>
      <w:lang w:val="en-US" w:eastAsia="zh-CN" w:bidi="ar-SA"/>
    </w:rPr>
  </w:style>
  <w:style w:type="paragraph" w:styleId="afa">
    <w:name w:val="Revision"/>
    <w:hidden/>
    <w:uiPriority w:val="99"/>
    <w:semiHidden/>
    <w:rsid w:val="00D77CE2"/>
    <w:rPr>
      <w:rFonts w:ascii="Arial" w:eastAsia="Times New Roman" w:hAnsi="Arial"/>
      <w:lang w:val="en-GB"/>
    </w:rPr>
  </w:style>
  <w:style w:type="paragraph" w:customStyle="1" w:styleId="xmsonormal">
    <w:name w:val="x_msonormal"/>
    <w:basedOn w:val="a"/>
    <w:rsid w:val="0092675C"/>
    <w:pPr>
      <w:overflowPunct/>
      <w:autoSpaceDE/>
      <w:autoSpaceDN/>
      <w:adjustRightInd/>
      <w:spacing w:before="100" w:beforeAutospacing="1" w:after="0"/>
      <w:jc w:val="left"/>
      <w:textAlignment w:val="auto"/>
    </w:pPr>
    <w:rPr>
      <w:rFonts w:ascii="Calibri" w:eastAsia="宋体" w:hAnsi="Calibri" w:cs="Calibri"/>
      <w:sz w:val="22"/>
      <w:szCs w:val="22"/>
      <w:lang w:val="en-US"/>
    </w:rPr>
  </w:style>
  <w:style w:type="paragraph" w:customStyle="1" w:styleId="15">
    <w:name w:val="列出段落1"/>
    <w:basedOn w:val="a"/>
    <w:rsid w:val="00202E32"/>
    <w:pPr>
      <w:overflowPunct/>
      <w:autoSpaceDE/>
      <w:autoSpaceDN/>
      <w:adjustRightInd/>
      <w:spacing w:before="100" w:beforeAutospacing="1" w:after="180"/>
      <w:ind w:left="720"/>
      <w:contextualSpacing/>
      <w:jc w:val="left"/>
      <w:textAlignment w:val="auto"/>
    </w:pPr>
    <w:rPr>
      <w:rFonts w:ascii="Times New Roman" w:eastAsia="宋体" w:hAnsi="Times New Roman"/>
      <w:sz w:val="24"/>
      <w:szCs w:val="24"/>
      <w:lang w:val="en-US"/>
    </w:rPr>
  </w:style>
  <w:style w:type="paragraph" w:customStyle="1" w:styleId="LSHeader">
    <w:name w:val="LSHeader"/>
    <w:rsid w:val="001A759B"/>
    <w:pPr>
      <w:tabs>
        <w:tab w:val="right" w:pos="9781"/>
      </w:tabs>
    </w:pPr>
    <w:rPr>
      <w:rFonts w:ascii="Arial" w:eastAsia="等线" w:hAnsi="Arial"/>
      <w:b/>
      <w:sz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717353">
      <w:bodyDiv w:val="1"/>
      <w:marLeft w:val="0"/>
      <w:marRight w:val="0"/>
      <w:marTop w:val="0"/>
      <w:marBottom w:val="0"/>
      <w:divBdr>
        <w:top w:val="none" w:sz="0" w:space="0" w:color="auto"/>
        <w:left w:val="none" w:sz="0" w:space="0" w:color="auto"/>
        <w:bottom w:val="none" w:sz="0" w:space="0" w:color="auto"/>
        <w:right w:val="none" w:sz="0" w:space="0" w:color="auto"/>
      </w:divBdr>
    </w:div>
    <w:div w:id="486937805">
      <w:bodyDiv w:val="1"/>
      <w:marLeft w:val="0"/>
      <w:marRight w:val="0"/>
      <w:marTop w:val="0"/>
      <w:marBottom w:val="0"/>
      <w:divBdr>
        <w:top w:val="none" w:sz="0" w:space="0" w:color="auto"/>
        <w:left w:val="none" w:sz="0" w:space="0" w:color="auto"/>
        <w:bottom w:val="none" w:sz="0" w:space="0" w:color="auto"/>
        <w:right w:val="none" w:sz="0" w:space="0" w:color="auto"/>
      </w:divBdr>
      <w:divsChild>
        <w:div w:id="2017883575">
          <w:marLeft w:val="533"/>
          <w:marRight w:val="0"/>
          <w:marTop w:val="77"/>
          <w:marBottom w:val="0"/>
          <w:divBdr>
            <w:top w:val="none" w:sz="0" w:space="0" w:color="auto"/>
            <w:left w:val="none" w:sz="0" w:space="0" w:color="auto"/>
            <w:bottom w:val="none" w:sz="0" w:space="0" w:color="auto"/>
            <w:right w:val="none" w:sz="0" w:space="0" w:color="auto"/>
          </w:divBdr>
        </w:div>
      </w:divsChild>
    </w:div>
    <w:div w:id="507720145">
      <w:bodyDiv w:val="1"/>
      <w:marLeft w:val="0"/>
      <w:marRight w:val="0"/>
      <w:marTop w:val="0"/>
      <w:marBottom w:val="0"/>
      <w:divBdr>
        <w:top w:val="none" w:sz="0" w:space="0" w:color="auto"/>
        <w:left w:val="none" w:sz="0" w:space="0" w:color="auto"/>
        <w:bottom w:val="none" w:sz="0" w:space="0" w:color="auto"/>
        <w:right w:val="none" w:sz="0" w:space="0" w:color="auto"/>
      </w:divBdr>
      <w:divsChild>
        <w:div w:id="199323775">
          <w:marLeft w:val="533"/>
          <w:marRight w:val="0"/>
          <w:marTop w:val="77"/>
          <w:marBottom w:val="180"/>
          <w:divBdr>
            <w:top w:val="none" w:sz="0" w:space="0" w:color="auto"/>
            <w:left w:val="none" w:sz="0" w:space="0" w:color="auto"/>
            <w:bottom w:val="none" w:sz="0" w:space="0" w:color="auto"/>
            <w:right w:val="none" w:sz="0" w:space="0" w:color="auto"/>
          </w:divBdr>
        </w:div>
        <w:div w:id="1849515642">
          <w:marLeft w:val="533"/>
          <w:marRight w:val="0"/>
          <w:marTop w:val="77"/>
          <w:marBottom w:val="180"/>
          <w:divBdr>
            <w:top w:val="none" w:sz="0" w:space="0" w:color="auto"/>
            <w:left w:val="none" w:sz="0" w:space="0" w:color="auto"/>
            <w:bottom w:val="none" w:sz="0" w:space="0" w:color="auto"/>
            <w:right w:val="none" w:sz="0" w:space="0" w:color="auto"/>
          </w:divBdr>
        </w:div>
        <w:div w:id="1107459636">
          <w:marLeft w:val="533"/>
          <w:marRight w:val="0"/>
          <w:marTop w:val="77"/>
          <w:marBottom w:val="180"/>
          <w:divBdr>
            <w:top w:val="none" w:sz="0" w:space="0" w:color="auto"/>
            <w:left w:val="none" w:sz="0" w:space="0" w:color="auto"/>
            <w:bottom w:val="none" w:sz="0" w:space="0" w:color="auto"/>
            <w:right w:val="none" w:sz="0" w:space="0" w:color="auto"/>
          </w:divBdr>
        </w:div>
        <w:div w:id="396588163">
          <w:marLeft w:val="1166"/>
          <w:marRight w:val="0"/>
          <w:marTop w:val="67"/>
          <w:marBottom w:val="180"/>
          <w:divBdr>
            <w:top w:val="none" w:sz="0" w:space="0" w:color="auto"/>
            <w:left w:val="none" w:sz="0" w:space="0" w:color="auto"/>
            <w:bottom w:val="none" w:sz="0" w:space="0" w:color="auto"/>
            <w:right w:val="none" w:sz="0" w:space="0" w:color="auto"/>
          </w:divBdr>
        </w:div>
        <w:div w:id="1291667472">
          <w:marLeft w:val="1166"/>
          <w:marRight w:val="0"/>
          <w:marTop w:val="67"/>
          <w:marBottom w:val="180"/>
          <w:divBdr>
            <w:top w:val="none" w:sz="0" w:space="0" w:color="auto"/>
            <w:left w:val="none" w:sz="0" w:space="0" w:color="auto"/>
            <w:bottom w:val="none" w:sz="0" w:space="0" w:color="auto"/>
            <w:right w:val="none" w:sz="0" w:space="0" w:color="auto"/>
          </w:divBdr>
        </w:div>
      </w:divsChild>
    </w:div>
    <w:div w:id="664551787">
      <w:bodyDiv w:val="1"/>
      <w:marLeft w:val="0"/>
      <w:marRight w:val="0"/>
      <w:marTop w:val="0"/>
      <w:marBottom w:val="0"/>
      <w:divBdr>
        <w:top w:val="none" w:sz="0" w:space="0" w:color="auto"/>
        <w:left w:val="none" w:sz="0" w:space="0" w:color="auto"/>
        <w:bottom w:val="none" w:sz="0" w:space="0" w:color="auto"/>
        <w:right w:val="none" w:sz="0" w:space="0" w:color="auto"/>
      </w:divBdr>
      <w:divsChild>
        <w:div w:id="1568688971">
          <w:marLeft w:val="533"/>
          <w:marRight w:val="0"/>
          <w:marTop w:val="75"/>
          <w:marBottom w:val="75"/>
          <w:divBdr>
            <w:top w:val="none" w:sz="0" w:space="0" w:color="auto"/>
            <w:left w:val="none" w:sz="0" w:space="0" w:color="auto"/>
            <w:bottom w:val="none" w:sz="0" w:space="0" w:color="auto"/>
            <w:right w:val="none" w:sz="0" w:space="0" w:color="auto"/>
          </w:divBdr>
        </w:div>
      </w:divsChild>
    </w:div>
    <w:div w:id="701635557">
      <w:bodyDiv w:val="1"/>
      <w:marLeft w:val="0"/>
      <w:marRight w:val="0"/>
      <w:marTop w:val="0"/>
      <w:marBottom w:val="0"/>
      <w:divBdr>
        <w:top w:val="none" w:sz="0" w:space="0" w:color="auto"/>
        <w:left w:val="none" w:sz="0" w:space="0" w:color="auto"/>
        <w:bottom w:val="none" w:sz="0" w:space="0" w:color="auto"/>
        <w:right w:val="none" w:sz="0" w:space="0" w:color="auto"/>
      </w:divBdr>
    </w:div>
    <w:div w:id="811826090">
      <w:bodyDiv w:val="1"/>
      <w:marLeft w:val="0"/>
      <w:marRight w:val="0"/>
      <w:marTop w:val="0"/>
      <w:marBottom w:val="0"/>
      <w:divBdr>
        <w:top w:val="none" w:sz="0" w:space="0" w:color="auto"/>
        <w:left w:val="none" w:sz="0" w:space="0" w:color="auto"/>
        <w:bottom w:val="none" w:sz="0" w:space="0" w:color="auto"/>
        <w:right w:val="none" w:sz="0" w:space="0" w:color="auto"/>
      </w:divBdr>
      <w:divsChild>
        <w:div w:id="125248111">
          <w:marLeft w:val="533"/>
          <w:marRight w:val="0"/>
          <w:marTop w:val="77"/>
          <w:marBottom w:val="0"/>
          <w:divBdr>
            <w:top w:val="none" w:sz="0" w:space="0" w:color="auto"/>
            <w:left w:val="none" w:sz="0" w:space="0" w:color="auto"/>
            <w:bottom w:val="none" w:sz="0" w:space="0" w:color="auto"/>
            <w:right w:val="none" w:sz="0" w:space="0" w:color="auto"/>
          </w:divBdr>
        </w:div>
        <w:div w:id="1301378426">
          <w:marLeft w:val="1166"/>
          <w:marRight w:val="0"/>
          <w:marTop w:val="67"/>
          <w:marBottom w:val="0"/>
          <w:divBdr>
            <w:top w:val="none" w:sz="0" w:space="0" w:color="auto"/>
            <w:left w:val="none" w:sz="0" w:space="0" w:color="auto"/>
            <w:bottom w:val="none" w:sz="0" w:space="0" w:color="auto"/>
            <w:right w:val="none" w:sz="0" w:space="0" w:color="auto"/>
          </w:divBdr>
        </w:div>
        <w:div w:id="651955485">
          <w:marLeft w:val="1166"/>
          <w:marRight w:val="0"/>
          <w:marTop w:val="67"/>
          <w:marBottom w:val="0"/>
          <w:divBdr>
            <w:top w:val="none" w:sz="0" w:space="0" w:color="auto"/>
            <w:left w:val="none" w:sz="0" w:space="0" w:color="auto"/>
            <w:bottom w:val="none" w:sz="0" w:space="0" w:color="auto"/>
            <w:right w:val="none" w:sz="0" w:space="0" w:color="auto"/>
          </w:divBdr>
        </w:div>
      </w:divsChild>
    </w:div>
    <w:div w:id="906763518">
      <w:bodyDiv w:val="1"/>
      <w:marLeft w:val="0"/>
      <w:marRight w:val="0"/>
      <w:marTop w:val="0"/>
      <w:marBottom w:val="0"/>
      <w:divBdr>
        <w:top w:val="none" w:sz="0" w:space="0" w:color="auto"/>
        <w:left w:val="none" w:sz="0" w:space="0" w:color="auto"/>
        <w:bottom w:val="none" w:sz="0" w:space="0" w:color="auto"/>
        <w:right w:val="none" w:sz="0" w:space="0" w:color="auto"/>
      </w:divBdr>
      <w:divsChild>
        <w:div w:id="1914657623">
          <w:marLeft w:val="533"/>
          <w:marRight w:val="0"/>
          <w:marTop w:val="75"/>
          <w:marBottom w:val="75"/>
          <w:divBdr>
            <w:top w:val="none" w:sz="0" w:space="0" w:color="auto"/>
            <w:left w:val="none" w:sz="0" w:space="0" w:color="auto"/>
            <w:bottom w:val="none" w:sz="0" w:space="0" w:color="auto"/>
            <w:right w:val="none" w:sz="0" w:space="0" w:color="auto"/>
          </w:divBdr>
        </w:div>
        <w:div w:id="1005203080">
          <w:marLeft w:val="533"/>
          <w:marRight w:val="0"/>
          <w:marTop w:val="75"/>
          <w:marBottom w:val="75"/>
          <w:divBdr>
            <w:top w:val="none" w:sz="0" w:space="0" w:color="auto"/>
            <w:left w:val="none" w:sz="0" w:space="0" w:color="auto"/>
            <w:bottom w:val="none" w:sz="0" w:space="0" w:color="auto"/>
            <w:right w:val="none" w:sz="0" w:space="0" w:color="auto"/>
          </w:divBdr>
        </w:div>
      </w:divsChild>
    </w:div>
    <w:div w:id="1050612069">
      <w:bodyDiv w:val="1"/>
      <w:marLeft w:val="0"/>
      <w:marRight w:val="0"/>
      <w:marTop w:val="0"/>
      <w:marBottom w:val="0"/>
      <w:divBdr>
        <w:top w:val="none" w:sz="0" w:space="0" w:color="auto"/>
        <w:left w:val="none" w:sz="0" w:space="0" w:color="auto"/>
        <w:bottom w:val="none" w:sz="0" w:space="0" w:color="auto"/>
        <w:right w:val="none" w:sz="0" w:space="0" w:color="auto"/>
      </w:divBdr>
    </w:div>
    <w:div w:id="1226916679">
      <w:bodyDiv w:val="1"/>
      <w:marLeft w:val="0"/>
      <w:marRight w:val="0"/>
      <w:marTop w:val="0"/>
      <w:marBottom w:val="0"/>
      <w:divBdr>
        <w:top w:val="none" w:sz="0" w:space="0" w:color="auto"/>
        <w:left w:val="none" w:sz="0" w:space="0" w:color="auto"/>
        <w:bottom w:val="none" w:sz="0" w:space="0" w:color="auto"/>
        <w:right w:val="none" w:sz="0" w:space="0" w:color="auto"/>
      </w:divBdr>
    </w:div>
    <w:div w:id="1513912475">
      <w:bodyDiv w:val="1"/>
      <w:marLeft w:val="0"/>
      <w:marRight w:val="0"/>
      <w:marTop w:val="0"/>
      <w:marBottom w:val="0"/>
      <w:divBdr>
        <w:top w:val="none" w:sz="0" w:space="0" w:color="auto"/>
        <w:left w:val="none" w:sz="0" w:space="0" w:color="auto"/>
        <w:bottom w:val="none" w:sz="0" w:space="0" w:color="auto"/>
        <w:right w:val="none" w:sz="0" w:space="0" w:color="auto"/>
      </w:divBdr>
      <w:divsChild>
        <w:div w:id="1164853461">
          <w:marLeft w:val="533"/>
          <w:marRight w:val="0"/>
          <w:marTop w:val="75"/>
          <w:marBottom w:val="75"/>
          <w:divBdr>
            <w:top w:val="none" w:sz="0" w:space="0" w:color="auto"/>
            <w:left w:val="none" w:sz="0" w:space="0" w:color="auto"/>
            <w:bottom w:val="none" w:sz="0" w:space="0" w:color="auto"/>
            <w:right w:val="none" w:sz="0" w:space="0" w:color="auto"/>
          </w:divBdr>
        </w:div>
        <w:div w:id="1790391531">
          <w:marLeft w:val="533"/>
          <w:marRight w:val="0"/>
          <w:marTop w:val="75"/>
          <w:marBottom w:val="75"/>
          <w:divBdr>
            <w:top w:val="none" w:sz="0" w:space="0" w:color="auto"/>
            <w:left w:val="none" w:sz="0" w:space="0" w:color="auto"/>
            <w:bottom w:val="none" w:sz="0" w:space="0" w:color="auto"/>
            <w:right w:val="none" w:sz="0" w:space="0" w:color="auto"/>
          </w:divBdr>
        </w:div>
        <w:div w:id="1167089449">
          <w:marLeft w:val="533"/>
          <w:marRight w:val="0"/>
          <w:marTop w:val="75"/>
          <w:marBottom w:val="75"/>
          <w:divBdr>
            <w:top w:val="none" w:sz="0" w:space="0" w:color="auto"/>
            <w:left w:val="none" w:sz="0" w:space="0" w:color="auto"/>
            <w:bottom w:val="none" w:sz="0" w:space="0" w:color="auto"/>
            <w:right w:val="none" w:sz="0" w:space="0" w:color="auto"/>
          </w:divBdr>
        </w:div>
      </w:divsChild>
    </w:div>
    <w:div w:id="1554580038">
      <w:bodyDiv w:val="1"/>
      <w:marLeft w:val="0"/>
      <w:marRight w:val="0"/>
      <w:marTop w:val="0"/>
      <w:marBottom w:val="0"/>
      <w:divBdr>
        <w:top w:val="none" w:sz="0" w:space="0" w:color="auto"/>
        <w:left w:val="none" w:sz="0" w:space="0" w:color="auto"/>
        <w:bottom w:val="none" w:sz="0" w:space="0" w:color="auto"/>
        <w:right w:val="none" w:sz="0" w:space="0" w:color="auto"/>
      </w:divBdr>
      <w:divsChild>
        <w:div w:id="331639787">
          <w:marLeft w:val="533"/>
          <w:marRight w:val="0"/>
          <w:marTop w:val="77"/>
          <w:marBottom w:val="180"/>
          <w:divBdr>
            <w:top w:val="none" w:sz="0" w:space="0" w:color="auto"/>
            <w:left w:val="none" w:sz="0" w:space="0" w:color="auto"/>
            <w:bottom w:val="none" w:sz="0" w:space="0" w:color="auto"/>
            <w:right w:val="none" w:sz="0" w:space="0" w:color="auto"/>
          </w:divBdr>
        </w:div>
        <w:div w:id="478229715">
          <w:marLeft w:val="533"/>
          <w:marRight w:val="0"/>
          <w:marTop w:val="77"/>
          <w:marBottom w:val="180"/>
          <w:divBdr>
            <w:top w:val="none" w:sz="0" w:space="0" w:color="auto"/>
            <w:left w:val="none" w:sz="0" w:space="0" w:color="auto"/>
            <w:bottom w:val="none" w:sz="0" w:space="0" w:color="auto"/>
            <w:right w:val="none" w:sz="0" w:space="0" w:color="auto"/>
          </w:divBdr>
        </w:div>
        <w:div w:id="777141183">
          <w:marLeft w:val="533"/>
          <w:marRight w:val="0"/>
          <w:marTop w:val="77"/>
          <w:marBottom w:val="180"/>
          <w:divBdr>
            <w:top w:val="none" w:sz="0" w:space="0" w:color="auto"/>
            <w:left w:val="none" w:sz="0" w:space="0" w:color="auto"/>
            <w:bottom w:val="none" w:sz="0" w:space="0" w:color="auto"/>
            <w:right w:val="none" w:sz="0" w:space="0" w:color="auto"/>
          </w:divBdr>
        </w:div>
        <w:div w:id="668555954">
          <w:marLeft w:val="533"/>
          <w:marRight w:val="0"/>
          <w:marTop w:val="77"/>
          <w:marBottom w:val="180"/>
          <w:divBdr>
            <w:top w:val="none" w:sz="0" w:space="0" w:color="auto"/>
            <w:left w:val="none" w:sz="0" w:space="0" w:color="auto"/>
            <w:bottom w:val="none" w:sz="0" w:space="0" w:color="auto"/>
            <w:right w:val="none" w:sz="0" w:space="0" w:color="auto"/>
          </w:divBdr>
        </w:div>
        <w:div w:id="430903362">
          <w:marLeft w:val="533"/>
          <w:marRight w:val="0"/>
          <w:marTop w:val="77"/>
          <w:marBottom w:val="180"/>
          <w:divBdr>
            <w:top w:val="none" w:sz="0" w:space="0" w:color="auto"/>
            <w:left w:val="none" w:sz="0" w:space="0" w:color="auto"/>
            <w:bottom w:val="none" w:sz="0" w:space="0" w:color="auto"/>
            <w:right w:val="none" w:sz="0" w:space="0" w:color="auto"/>
          </w:divBdr>
        </w:div>
        <w:div w:id="153643289">
          <w:marLeft w:val="533"/>
          <w:marRight w:val="0"/>
          <w:marTop w:val="77"/>
          <w:marBottom w:val="180"/>
          <w:divBdr>
            <w:top w:val="none" w:sz="0" w:space="0" w:color="auto"/>
            <w:left w:val="none" w:sz="0" w:space="0" w:color="auto"/>
            <w:bottom w:val="none" w:sz="0" w:space="0" w:color="auto"/>
            <w:right w:val="none" w:sz="0" w:space="0" w:color="auto"/>
          </w:divBdr>
        </w:div>
        <w:div w:id="1531525114">
          <w:marLeft w:val="533"/>
          <w:marRight w:val="0"/>
          <w:marTop w:val="77"/>
          <w:marBottom w:val="180"/>
          <w:divBdr>
            <w:top w:val="none" w:sz="0" w:space="0" w:color="auto"/>
            <w:left w:val="none" w:sz="0" w:space="0" w:color="auto"/>
            <w:bottom w:val="none" w:sz="0" w:space="0" w:color="auto"/>
            <w:right w:val="none" w:sz="0" w:space="0" w:color="auto"/>
          </w:divBdr>
        </w:div>
        <w:div w:id="1458180523">
          <w:marLeft w:val="533"/>
          <w:marRight w:val="0"/>
          <w:marTop w:val="77"/>
          <w:marBottom w:val="180"/>
          <w:divBdr>
            <w:top w:val="none" w:sz="0" w:space="0" w:color="auto"/>
            <w:left w:val="none" w:sz="0" w:space="0" w:color="auto"/>
            <w:bottom w:val="none" w:sz="0" w:space="0" w:color="auto"/>
            <w:right w:val="none" w:sz="0" w:space="0" w:color="auto"/>
          </w:divBdr>
        </w:div>
      </w:divsChild>
    </w:div>
    <w:div w:id="1596985752">
      <w:bodyDiv w:val="1"/>
      <w:marLeft w:val="0"/>
      <w:marRight w:val="0"/>
      <w:marTop w:val="0"/>
      <w:marBottom w:val="0"/>
      <w:divBdr>
        <w:top w:val="none" w:sz="0" w:space="0" w:color="auto"/>
        <w:left w:val="none" w:sz="0" w:space="0" w:color="auto"/>
        <w:bottom w:val="none" w:sz="0" w:space="0" w:color="auto"/>
        <w:right w:val="none" w:sz="0" w:space="0" w:color="auto"/>
      </w:divBdr>
      <w:divsChild>
        <w:div w:id="169570828">
          <w:marLeft w:val="533"/>
          <w:marRight w:val="0"/>
          <w:marTop w:val="77"/>
          <w:marBottom w:val="0"/>
          <w:divBdr>
            <w:top w:val="none" w:sz="0" w:space="0" w:color="auto"/>
            <w:left w:val="none" w:sz="0" w:space="0" w:color="auto"/>
            <w:bottom w:val="none" w:sz="0" w:space="0" w:color="auto"/>
            <w:right w:val="none" w:sz="0" w:space="0" w:color="auto"/>
          </w:divBdr>
        </w:div>
      </w:divsChild>
    </w:div>
    <w:div w:id="1657227647">
      <w:bodyDiv w:val="1"/>
      <w:marLeft w:val="0"/>
      <w:marRight w:val="0"/>
      <w:marTop w:val="0"/>
      <w:marBottom w:val="0"/>
      <w:divBdr>
        <w:top w:val="none" w:sz="0" w:space="0" w:color="auto"/>
        <w:left w:val="none" w:sz="0" w:space="0" w:color="auto"/>
        <w:bottom w:val="none" w:sz="0" w:space="0" w:color="auto"/>
        <w:right w:val="none" w:sz="0" w:space="0" w:color="auto"/>
      </w:divBdr>
      <w:divsChild>
        <w:div w:id="1335064969">
          <w:marLeft w:val="0"/>
          <w:marRight w:val="0"/>
          <w:marTop w:val="0"/>
          <w:marBottom w:val="0"/>
          <w:divBdr>
            <w:top w:val="none" w:sz="0" w:space="0" w:color="auto"/>
            <w:left w:val="none" w:sz="0" w:space="0" w:color="auto"/>
            <w:bottom w:val="none" w:sz="0" w:space="0" w:color="auto"/>
            <w:right w:val="none" w:sz="0" w:space="0" w:color="auto"/>
          </w:divBdr>
          <w:divsChild>
            <w:div w:id="1937862192">
              <w:marLeft w:val="0"/>
              <w:marRight w:val="0"/>
              <w:marTop w:val="0"/>
              <w:marBottom w:val="0"/>
              <w:divBdr>
                <w:top w:val="single" w:sz="6" w:space="0" w:color="DEDEDE"/>
                <w:left w:val="single" w:sz="6" w:space="0" w:color="DEDEDE"/>
                <w:bottom w:val="single" w:sz="6" w:space="0" w:color="DEDEDE"/>
                <w:right w:val="single" w:sz="6" w:space="0" w:color="DEDEDE"/>
              </w:divBdr>
              <w:divsChild>
                <w:div w:id="958414959">
                  <w:marLeft w:val="0"/>
                  <w:marRight w:val="0"/>
                  <w:marTop w:val="0"/>
                  <w:marBottom w:val="0"/>
                  <w:divBdr>
                    <w:top w:val="none" w:sz="0" w:space="0" w:color="auto"/>
                    <w:left w:val="none" w:sz="0" w:space="0" w:color="auto"/>
                    <w:bottom w:val="none" w:sz="0" w:space="0" w:color="auto"/>
                    <w:right w:val="none" w:sz="0" w:space="0" w:color="auto"/>
                  </w:divBdr>
                  <w:divsChild>
                    <w:div w:id="41713821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888150831">
          <w:marLeft w:val="0"/>
          <w:marRight w:val="0"/>
          <w:marTop w:val="0"/>
          <w:marBottom w:val="0"/>
          <w:divBdr>
            <w:top w:val="none" w:sz="0" w:space="0" w:color="auto"/>
            <w:left w:val="none" w:sz="0" w:space="0" w:color="auto"/>
            <w:bottom w:val="none" w:sz="0" w:space="0" w:color="auto"/>
            <w:right w:val="none" w:sz="0" w:space="0" w:color="auto"/>
          </w:divBdr>
          <w:divsChild>
            <w:div w:id="1195920020">
              <w:marLeft w:val="0"/>
              <w:marRight w:val="0"/>
              <w:marTop w:val="0"/>
              <w:marBottom w:val="0"/>
              <w:divBdr>
                <w:top w:val="none" w:sz="0" w:space="0" w:color="auto"/>
                <w:left w:val="none" w:sz="0" w:space="0" w:color="auto"/>
                <w:bottom w:val="none" w:sz="0" w:space="0" w:color="auto"/>
                <w:right w:val="none" w:sz="0" w:space="0" w:color="auto"/>
              </w:divBdr>
              <w:divsChild>
                <w:div w:id="753816947">
                  <w:marLeft w:val="0"/>
                  <w:marRight w:val="0"/>
                  <w:marTop w:val="0"/>
                  <w:marBottom w:val="0"/>
                  <w:divBdr>
                    <w:top w:val="single" w:sz="6" w:space="8" w:color="EEEEEE"/>
                    <w:left w:val="none" w:sz="0" w:space="0" w:color="auto"/>
                    <w:bottom w:val="single" w:sz="6" w:space="8" w:color="EEEEEE"/>
                    <w:right w:val="single" w:sz="6" w:space="8" w:color="EEEEEE"/>
                  </w:divBdr>
                  <w:divsChild>
                    <w:div w:id="49966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8264951">
      <w:bodyDiv w:val="1"/>
      <w:marLeft w:val="0"/>
      <w:marRight w:val="0"/>
      <w:marTop w:val="0"/>
      <w:marBottom w:val="0"/>
      <w:divBdr>
        <w:top w:val="none" w:sz="0" w:space="0" w:color="auto"/>
        <w:left w:val="none" w:sz="0" w:space="0" w:color="auto"/>
        <w:bottom w:val="none" w:sz="0" w:space="0" w:color="auto"/>
        <w:right w:val="none" w:sz="0" w:space="0" w:color="auto"/>
      </w:divBdr>
    </w:div>
    <w:div w:id="1762098747">
      <w:bodyDiv w:val="1"/>
      <w:marLeft w:val="0"/>
      <w:marRight w:val="0"/>
      <w:marTop w:val="0"/>
      <w:marBottom w:val="0"/>
      <w:divBdr>
        <w:top w:val="none" w:sz="0" w:space="0" w:color="auto"/>
        <w:left w:val="none" w:sz="0" w:space="0" w:color="auto"/>
        <w:bottom w:val="none" w:sz="0" w:space="0" w:color="auto"/>
        <w:right w:val="none" w:sz="0" w:space="0" w:color="auto"/>
      </w:divBdr>
    </w:div>
    <w:div w:id="2025667826">
      <w:bodyDiv w:val="1"/>
      <w:marLeft w:val="0"/>
      <w:marRight w:val="0"/>
      <w:marTop w:val="0"/>
      <w:marBottom w:val="0"/>
      <w:divBdr>
        <w:top w:val="none" w:sz="0" w:space="0" w:color="auto"/>
        <w:left w:val="none" w:sz="0" w:space="0" w:color="auto"/>
        <w:bottom w:val="none" w:sz="0" w:space="0" w:color="auto"/>
        <w:right w:val="none" w:sz="0" w:space="0" w:color="auto"/>
      </w:divBdr>
    </w:div>
    <w:div w:id="2058816420">
      <w:bodyDiv w:val="1"/>
      <w:marLeft w:val="0"/>
      <w:marRight w:val="0"/>
      <w:marTop w:val="0"/>
      <w:marBottom w:val="0"/>
      <w:divBdr>
        <w:top w:val="none" w:sz="0" w:space="0" w:color="auto"/>
        <w:left w:val="none" w:sz="0" w:space="0" w:color="auto"/>
        <w:bottom w:val="none" w:sz="0" w:space="0" w:color="auto"/>
        <w:right w:val="none" w:sz="0" w:space="0" w:color="auto"/>
      </w:divBdr>
    </w:div>
    <w:div w:id="2128502683">
      <w:bodyDiv w:val="1"/>
      <w:marLeft w:val="0"/>
      <w:marRight w:val="0"/>
      <w:marTop w:val="0"/>
      <w:marBottom w:val="0"/>
      <w:divBdr>
        <w:top w:val="none" w:sz="0" w:space="0" w:color="auto"/>
        <w:left w:val="none" w:sz="0" w:space="0" w:color="auto"/>
        <w:bottom w:val="none" w:sz="0" w:space="0" w:color="auto"/>
        <w:right w:val="none" w:sz="0" w:space="0" w:color="auto"/>
      </w:divBdr>
      <w:divsChild>
        <w:div w:id="559244442">
          <w:marLeft w:val="533"/>
          <w:marRight w:val="0"/>
          <w:marTop w:val="75"/>
          <w:marBottom w:val="75"/>
          <w:divBdr>
            <w:top w:val="none" w:sz="0" w:space="0" w:color="auto"/>
            <w:left w:val="none" w:sz="0" w:space="0" w:color="auto"/>
            <w:bottom w:val="none" w:sz="0" w:space="0" w:color="auto"/>
            <w:right w:val="none" w:sz="0" w:space="0" w:color="auto"/>
          </w:divBdr>
        </w:div>
        <w:div w:id="951210411">
          <w:marLeft w:val="533"/>
          <w:marRight w:val="0"/>
          <w:marTop w:val="75"/>
          <w:marBottom w:val="75"/>
          <w:divBdr>
            <w:top w:val="none" w:sz="0" w:space="0" w:color="auto"/>
            <w:left w:val="none" w:sz="0" w:space="0" w:color="auto"/>
            <w:bottom w:val="none" w:sz="0" w:space="0" w:color="auto"/>
            <w:right w:val="none" w:sz="0" w:space="0" w:color="auto"/>
          </w:divBdr>
        </w:div>
        <w:div w:id="2104453670">
          <w:marLeft w:val="1166"/>
          <w:marRight w:val="0"/>
          <w:marTop w:val="75"/>
          <w:marBottom w:val="75"/>
          <w:divBdr>
            <w:top w:val="none" w:sz="0" w:space="0" w:color="auto"/>
            <w:left w:val="none" w:sz="0" w:space="0" w:color="auto"/>
            <w:bottom w:val="none" w:sz="0" w:space="0" w:color="auto"/>
            <w:right w:val="none" w:sz="0" w:space="0" w:color="auto"/>
          </w:divBdr>
        </w:div>
        <w:div w:id="645626792">
          <w:marLeft w:val="1166"/>
          <w:marRight w:val="0"/>
          <w:marTop w:val="75"/>
          <w:marBottom w:val="75"/>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EBDAD-F25C-4923-B5F8-0F15B0BFA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4.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6.xml><?xml version="1.0" encoding="utf-8"?>
<ds:datastoreItem xmlns:ds="http://schemas.openxmlformats.org/officeDocument/2006/customXml" ds:itemID="{6A26D8D2-5018-4FD5-B374-98A4616FA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1943</TotalTime>
  <Pages>5</Pages>
  <Words>1771</Words>
  <Characters>10097</Characters>
  <Application>Microsoft Office Word</Application>
  <DocSecurity>0</DocSecurity>
  <Lines>84</Lines>
  <Paragraphs>23</Paragraphs>
  <ScaleCrop>false</ScaleCrop>
  <Company/>
  <LinksUpToDate>false</LinksUpToDate>
  <CharactersWithSpaces>11845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CU</cp:lastModifiedBy>
  <cp:revision>81</cp:revision>
  <dcterms:created xsi:type="dcterms:W3CDTF">2023-02-17T06:34:00Z</dcterms:created>
  <dcterms:modified xsi:type="dcterms:W3CDTF">2023-09-28T06:29:00Z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2052-11.8.2.11542</vt:lpwstr>
  </property>
  <property fmtid="{D5CDD505-2E9C-101B-9397-08002B2CF9AE}" pid="20" name="ICV">
    <vt:lpwstr>617C1146B0B94528B38E5714BD673727</vt:lpwstr>
  </property>
  <property fmtid="{D5CDD505-2E9C-101B-9397-08002B2CF9AE}" pid="21" name="GrammarlyDocumentId">
    <vt:lpwstr>847a03883f9dba5ec6c649e7c57b3cc63ee84cded77194ea725dfedcd32d4d3d</vt:lpwstr>
  </property>
</Properties>
</file>